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6A196" w14:textId="331E7CEF" w:rsidR="0079702C" w:rsidRPr="00E724D2" w:rsidRDefault="00017E59" w:rsidP="00622C85">
      <w:pPr>
        <w:jc w:val="both"/>
        <w:rPr>
          <w:rFonts w:asciiTheme="majorHAnsi" w:hAnsiTheme="majorHAnsi" w:cstheme="majorHAnsi"/>
          <w:b/>
          <w:bCs/>
          <w:color w:val="000000"/>
          <w:sz w:val="28"/>
          <w:szCs w:val="28"/>
        </w:rPr>
      </w:pPr>
      <w:r>
        <w:rPr>
          <w:rFonts w:asciiTheme="majorHAnsi" w:hAnsiTheme="majorHAnsi" w:cstheme="majorHAnsi"/>
          <w:b/>
          <w:bCs/>
          <w:color w:val="000000"/>
          <w:sz w:val="28"/>
          <w:szCs w:val="28"/>
        </w:rPr>
        <w:t xml:space="preserve">Eni - </w:t>
      </w:r>
      <w:r w:rsidR="0079702C" w:rsidRPr="00E724D2">
        <w:rPr>
          <w:rFonts w:asciiTheme="majorHAnsi" w:hAnsiTheme="majorHAnsi" w:cstheme="majorHAnsi"/>
          <w:b/>
          <w:bCs/>
          <w:color w:val="000000"/>
          <w:sz w:val="28"/>
          <w:szCs w:val="28"/>
        </w:rPr>
        <w:t>Comment</w:t>
      </w:r>
      <w:r w:rsidR="00D93310" w:rsidRPr="00E724D2">
        <w:rPr>
          <w:rFonts w:asciiTheme="majorHAnsi" w:hAnsiTheme="majorHAnsi" w:cstheme="majorHAnsi"/>
          <w:b/>
          <w:bCs/>
          <w:color w:val="000000"/>
          <w:sz w:val="28"/>
          <w:szCs w:val="28"/>
        </w:rPr>
        <w:t>s</w:t>
      </w:r>
      <w:r w:rsidR="0079702C" w:rsidRPr="00E724D2">
        <w:rPr>
          <w:rFonts w:asciiTheme="majorHAnsi" w:hAnsiTheme="majorHAnsi" w:cstheme="majorHAnsi"/>
          <w:b/>
          <w:bCs/>
          <w:color w:val="000000"/>
          <w:sz w:val="28"/>
          <w:szCs w:val="28"/>
        </w:rPr>
        <w:t xml:space="preserve"> related to </w:t>
      </w:r>
      <w:r w:rsidR="00D93310" w:rsidRPr="00E724D2">
        <w:rPr>
          <w:rFonts w:asciiTheme="majorHAnsi" w:hAnsiTheme="majorHAnsi" w:cstheme="majorHAnsi"/>
          <w:b/>
          <w:bCs/>
          <w:color w:val="000000"/>
          <w:sz w:val="28"/>
          <w:szCs w:val="28"/>
        </w:rPr>
        <w:t>Value chain Implementation guidance</w:t>
      </w:r>
      <w:r w:rsidR="0079702C" w:rsidRPr="00E724D2">
        <w:rPr>
          <w:rFonts w:asciiTheme="majorHAnsi" w:hAnsiTheme="majorHAnsi" w:cstheme="majorHAnsi"/>
          <w:b/>
          <w:bCs/>
          <w:color w:val="000000"/>
          <w:sz w:val="28"/>
          <w:szCs w:val="28"/>
        </w:rPr>
        <w:t xml:space="preserve"> </w:t>
      </w:r>
    </w:p>
    <w:p w14:paraId="7932B85E" w14:textId="29D7D7A6" w:rsidR="00444D9E" w:rsidRPr="006A3D56" w:rsidRDefault="00444D9E" w:rsidP="00622C85">
      <w:pPr>
        <w:jc w:val="both"/>
        <w:rPr>
          <w:rFonts w:asciiTheme="majorHAnsi" w:hAnsiTheme="majorHAnsi" w:cstheme="majorHAnsi"/>
          <w:b/>
          <w:bCs/>
          <w:color w:val="000000"/>
          <w:shd w:val="clear" w:color="auto" w:fill="F0F0F0"/>
        </w:rPr>
      </w:pPr>
    </w:p>
    <w:p w14:paraId="4893B8BB" w14:textId="66074BF5" w:rsidR="00BC3D9C" w:rsidRDefault="003E5467" w:rsidP="002A7269">
      <w:pPr>
        <w:jc w:val="both"/>
        <w:rPr>
          <w:rFonts w:asciiTheme="majorHAnsi" w:hAnsiTheme="majorHAnsi" w:cstheme="majorHAnsi"/>
          <w:b/>
          <w:bCs/>
          <w:color w:val="000000"/>
        </w:rPr>
      </w:pPr>
      <w:r w:rsidRPr="003E5467">
        <w:rPr>
          <w:rFonts w:asciiTheme="majorHAnsi" w:hAnsiTheme="majorHAnsi" w:cstheme="majorHAnsi"/>
          <w:b/>
          <w:bCs/>
          <w:color w:val="000000"/>
        </w:rPr>
        <w:t>2.2 Why does VC matter?</w:t>
      </w:r>
      <w:r>
        <w:rPr>
          <w:rFonts w:asciiTheme="majorHAnsi" w:hAnsiTheme="majorHAnsi" w:cstheme="majorHAnsi"/>
          <w:b/>
          <w:bCs/>
          <w:color w:val="000000"/>
        </w:rPr>
        <w:t xml:space="preserve"> – Par. 33</w:t>
      </w:r>
    </w:p>
    <w:p w14:paraId="4BB596FC" w14:textId="24B0E098" w:rsidR="003E5467" w:rsidRPr="003E5467" w:rsidRDefault="003E5467" w:rsidP="002A7269">
      <w:pPr>
        <w:jc w:val="both"/>
        <w:rPr>
          <w:rFonts w:asciiTheme="majorHAnsi" w:hAnsiTheme="majorHAnsi" w:cstheme="majorHAnsi"/>
          <w:color w:val="000000"/>
        </w:rPr>
      </w:pPr>
      <w:r w:rsidRPr="003E5467">
        <w:rPr>
          <w:rFonts w:asciiTheme="majorHAnsi" w:hAnsiTheme="majorHAnsi" w:cstheme="majorHAnsi"/>
          <w:color w:val="000000"/>
        </w:rPr>
        <w:t xml:space="preserve">The example stops in identifying the "hotspot" in the VC but does not explain </w:t>
      </w:r>
      <w:r w:rsidR="007F08BF">
        <w:rPr>
          <w:rFonts w:asciiTheme="majorHAnsi" w:hAnsiTheme="majorHAnsi" w:cstheme="majorHAnsi"/>
          <w:color w:val="000000"/>
        </w:rPr>
        <w:t xml:space="preserve">the next step, meaning </w:t>
      </w:r>
      <w:r w:rsidRPr="003E5467">
        <w:rPr>
          <w:rFonts w:asciiTheme="majorHAnsi" w:hAnsiTheme="majorHAnsi" w:cstheme="majorHAnsi"/>
          <w:color w:val="000000"/>
        </w:rPr>
        <w:t xml:space="preserve">what </w:t>
      </w:r>
      <w:r w:rsidR="007F08BF">
        <w:rPr>
          <w:rFonts w:asciiTheme="majorHAnsi" w:hAnsiTheme="majorHAnsi" w:cstheme="majorHAnsi"/>
          <w:color w:val="000000"/>
        </w:rPr>
        <w:t>you need to d</w:t>
      </w:r>
      <w:r w:rsidR="00664A91">
        <w:rPr>
          <w:rFonts w:asciiTheme="majorHAnsi" w:hAnsiTheme="majorHAnsi" w:cstheme="majorHAnsi"/>
          <w:color w:val="000000"/>
        </w:rPr>
        <w:t xml:space="preserve">isclose. For example, having identified working conditions as material </w:t>
      </w:r>
      <w:r w:rsidR="00C92ACA">
        <w:rPr>
          <w:rFonts w:asciiTheme="majorHAnsi" w:hAnsiTheme="majorHAnsi" w:cstheme="majorHAnsi"/>
          <w:color w:val="000000"/>
        </w:rPr>
        <w:t>which type of information</w:t>
      </w:r>
      <w:r w:rsidRPr="003E5467">
        <w:rPr>
          <w:rFonts w:asciiTheme="majorHAnsi" w:hAnsiTheme="majorHAnsi" w:cstheme="majorHAnsi"/>
          <w:color w:val="000000"/>
        </w:rPr>
        <w:t xml:space="preserve"> </w:t>
      </w:r>
      <w:r w:rsidR="00C92ACA">
        <w:rPr>
          <w:rFonts w:asciiTheme="majorHAnsi" w:hAnsiTheme="majorHAnsi" w:cstheme="majorHAnsi"/>
          <w:color w:val="000000"/>
        </w:rPr>
        <w:t xml:space="preserve">do I have to </w:t>
      </w:r>
      <w:r w:rsidRPr="003E5467">
        <w:rPr>
          <w:rFonts w:asciiTheme="majorHAnsi" w:hAnsiTheme="majorHAnsi" w:cstheme="majorHAnsi"/>
          <w:color w:val="000000"/>
        </w:rPr>
        <w:t xml:space="preserve">ask to </w:t>
      </w:r>
      <w:r w:rsidR="00C92ACA">
        <w:rPr>
          <w:rFonts w:asciiTheme="majorHAnsi" w:hAnsiTheme="majorHAnsi" w:cstheme="majorHAnsi"/>
          <w:color w:val="000000"/>
        </w:rPr>
        <w:t>my</w:t>
      </w:r>
      <w:r w:rsidRPr="003E5467">
        <w:rPr>
          <w:rFonts w:asciiTheme="majorHAnsi" w:hAnsiTheme="majorHAnsi" w:cstheme="majorHAnsi"/>
          <w:color w:val="000000"/>
        </w:rPr>
        <w:t xml:space="preserve"> counterparts (e.g., suppliers)</w:t>
      </w:r>
      <w:r w:rsidR="00C92ACA">
        <w:rPr>
          <w:rFonts w:asciiTheme="majorHAnsi" w:hAnsiTheme="majorHAnsi" w:cstheme="majorHAnsi"/>
          <w:color w:val="000000"/>
        </w:rPr>
        <w:t>?</w:t>
      </w:r>
      <w:r w:rsidRPr="003E5467">
        <w:rPr>
          <w:rFonts w:asciiTheme="majorHAnsi" w:hAnsiTheme="majorHAnsi" w:cstheme="majorHAnsi"/>
          <w:color w:val="000000"/>
        </w:rPr>
        <w:t xml:space="preserve"> </w:t>
      </w:r>
      <w:r w:rsidR="00C92ACA">
        <w:rPr>
          <w:rFonts w:asciiTheme="majorHAnsi" w:hAnsiTheme="majorHAnsi" w:cstheme="majorHAnsi"/>
          <w:color w:val="000000"/>
        </w:rPr>
        <w:t>Is i</w:t>
      </w:r>
      <w:r w:rsidRPr="003E5467">
        <w:rPr>
          <w:rFonts w:asciiTheme="majorHAnsi" w:hAnsiTheme="majorHAnsi" w:cstheme="majorHAnsi"/>
          <w:color w:val="000000"/>
        </w:rPr>
        <w:t>t enough to identify that I have the impacts, risks or opportunities or do I have to do more at the disclosure level as well?</w:t>
      </w:r>
      <w:r>
        <w:rPr>
          <w:rFonts w:asciiTheme="majorHAnsi" w:hAnsiTheme="majorHAnsi" w:cstheme="majorHAnsi"/>
          <w:color w:val="000000"/>
        </w:rPr>
        <w:t xml:space="preserve"> This aspect should be clarified.</w:t>
      </w:r>
    </w:p>
    <w:p w14:paraId="603B5084" w14:textId="77777777" w:rsidR="003E5467" w:rsidRDefault="003E5467" w:rsidP="002A7269">
      <w:pPr>
        <w:jc w:val="both"/>
        <w:rPr>
          <w:rFonts w:asciiTheme="majorHAnsi" w:hAnsiTheme="majorHAnsi" w:cstheme="majorHAnsi"/>
          <w:b/>
          <w:bCs/>
          <w:color w:val="000000"/>
        </w:rPr>
      </w:pPr>
    </w:p>
    <w:p w14:paraId="1B455E6F" w14:textId="3ED7DF46" w:rsidR="001472FC" w:rsidRDefault="001472FC" w:rsidP="001472FC">
      <w:pPr>
        <w:jc w:val="both"/>
        <w:rPr>
          <w:rFonts w:asciiTheme="majorHAnsi" w:hAnsiTheme="majorHAnsi" w:cstheme="majorHAnsi"/>
          <w:b/>
          <w:bCs/>
          <w:color w:val="000000"/>
        </w:rPr>
      </w:pPr>
      <w:r>
        <w:rPr>
          <w:rFonts w:asciiTheme="majorHAnsi" w:hAnsiTheme="majorHAnsi" w:cstheme="majorHAnsi"/>
          <w:b/>
          <w:bCs/>
          <w:color w:val="000000"/>
        </w:rPr>
        <w:t>2.3 From own operations to value chain</w:t>
      </w:r>
      <w:r w:rsidR="006F4347">
        <w:rPr>
          <w:rFonts w:asciiTheme="majorHAnsi" w:hAnsiTheme="majorHAnsi" w:cstheme="majorHAnsi"/>
          <w:b/>
          <w:bCs/>
          <w:color w:val="000000"/>
        </w:rPr>
        <w:t xml:space="preserve"> - </w:t>
      </w:r>
      <w:r>
        <w:rPr>
          <w:rFonts w:asciiTheme="majorHAnsi" w:hAnsiTheme="majorHAnsi" w:cstheme="majorHAnsi"/>
          <w:b/>
          <w:bCs/>
          <w:color w:val="000000"/>
        </w:rPr>
        <w:t xml:space="preserve">Par. </w:t>
      </w:r>
      <w:r w:rsidR="006F4347">
        <w:rPr>
          <w:rFonts w:asciiTheme="majorHAnsi" w:hAnsiTheme="majorHAnsi" w:cstheme="majorHAnsi"/>
          <w:b/>
          <w:bCs/>
          <w:color w:val="000000"/>
        </w:rPr>
        <w:t>36</w:t>
      </w:r>
    </w:p>
    <w:p w14:paraId="7F7213B2" w14:textId="4DDF9766" w:rsidR="006F4347" w:rsidRPr="006F4347" w:rsidRDefault="00091CBC" w:rsidP="001472FC">
      <w:pPr>
        <w:jc w:val="both"/>
        <w:rPr>
          <w:rFonts w:asciiTheme="majorHAnsi" w:hAnsiTheme="majorHAnsi" w:cstheme="majorHAnsi"/>
          <w:color w:val="000000"/>
        </w:rPr>
      </w:pPr>
      <w:r>
        <w:rPr>
          <w:rFonts w:asciiTheme="majorHAnsi" w:hAnsiTheme="majorHAnsi" w:cstheme="majorHAnsi"/>
          <w:color w:val="000000"/>
        </w:rPr>
        <w:t>More clarification should be provided on the consideration for s</w:t>
      </w:r>
      <w:r w:rsidR="006F4347" w:rsidRPr="006F4347">
        <w:rPr>
          <w:rFonts w:asciiTheme="majorHAnsi" w:hAnsiTheme="majorHAnsi" w:cstheme="majorHAnsi"/>
          <w:color w:val="000000"/>
        </w:rPr>
        <w:t xml:space="preserve">ubsidiaries </w:t>
      </w:r>
      <w:r>
        <w:rPr>
          <w:rFonts w:asciiTheme="majorHAnsi" w:hAnsiTheme="majorHAnsi" w:cstheme="majorHAnsi"/>
          <w:color w:val="000000"/>
        </w:rPr>
        <w:t xml:space="preserve">that are </w:t>
      </w:r>
      <w:r w:rsidR="005F1053">
        <w:rPr>
          <w:rFonts w:asciiTheme="majorHAnsi" w:hAnsiTheme="majorHAnsi" w:cstheme="majorHAnsi"/>
          <w:color w:val="000000"/>
        </w:rPr>
        <w:t>excluded</w:t>
      </w:r>
      <w:r>
        <w:rPr>
          <w:rFonts w:asciiTheme="majorHAnsi" w:hAnsiTheme="majorHAnsi" w:cstheme="majorHAnsi"/>
          <w:color w:val="000000"/>
        </w:rPr>
        <w:t xml:space="preserve"> from</w:t>
      </w:r>
      <w:r w:rsidR="0023318F">
        <w:rPr>
          <w:rFonts w:asciiTheme="majorHAnsi" w:hAnsiTheme="majorHAnsi" w:cstheme="majorHAnsi"/>
          <w:color w:val="000000"/>
        </w:rPr>
        <w:t xml:space="preserve"> </w:t>
      </w:r>
      <w:r w:rsidR="006F4347" w:rsidRPr="006F4347">
        <w:rPr>
          <w:rFonts w:asciiTheme="majorHAnsi" w:hAnsiTheme="majorHAnsi" w:cstheme="majorHAnsi"/>
          <w:color w:val="000000"/>
        </w:rPr>
        <w:t xml:space="preserve">the financial perimeter </w:t>
      </w:r>
      <w:r>
        <w:rPr>
          <w:rFonts w:asciiTheme="majorHAnsi" w:hAnsiTheme="majorHAnsi" w:cstheme="majorHAnsi"/>
          <w:color w:val="000000"/>
        </w:rPr>
        <w:t xml:space="preserve">because they are not considered material from a consolidation point of view. The implementation guidance is just referring to the materiality guideline without giving specific explanation on how to treat this typology for data collection. </w:t>
      </w:r>
      <w:r w:rsidR="00743AB2">
        <w:rPr>
          <w:rFonts w:asciiTheme="majorHAnsi" w:hAnsiTheme="majorHAnsi" w:cstheme="majorHAnsi"/>
          <w:color w:val="000000"/>
        </w:rPr>
        <w:t>On this matter</w:t>
      </w:r>
      <w:r>
        <w:rPr>
          <w:rFonts w:asciiTheme="majorHAnsi" w:hAnsiTheme="majorHAnsi" w:cstheme="majorHAnsi"/>
          <w:color w:val="000000"/>
        </w:rPr>
        <w:t xml:space="preserve">, we suggest </w:t>
      </w:r>
      <w:r w:rsidR="006F4347" w:rsidRPr="006F4347">
        <w:rPr>
          <w:rFonts w:asciiTheme="majorHAnsi" w:hAnsiTheme="majorHAnsi" w:cstheme="majorHAnsi"/>
          <w:color w:val="000000"/>
        </w:rPr>
        <w:t xml:space="preserve">to give companies the possibility to keep the </w:t>
      </w:r>
      <w:r w:rsidR="00146AB8">
        <w:rPr>
          <w:rFonts w:asciiTheme="majorHAnsi" w:hAnsiTheme="majorHAnsi" w:cstheme="majorHAnsi"/>
          <w:color w:val="000000"/>
        </w:rPr>
        <w:t>reporting boundaries aligned</w:t>
      </w:r>
      <w:r w:rsidR="006F4347" w:rsidRPr="006F4347">
        <w:rPr>
          <w:rFonts w:asciiTheme="majorHAnsi" w:hAnsiTheme="majorHAnsi" w:cstheme="majorHAnsi"/>
          <w:color w:val="000000"/>
        </w:rPr>
        <w:t xml:space="preserve"> and </w:t>
      </w:r>
      <w:r w:rsidR="00146AB8" w:rsidRPr="006F4347">
        <w:rPr>
          <w:rFonts w:asciiTheme="majorHAnsi" w:hAnsiTheme="majorHAnsi" w:cstheme="majorHAnsi"/>
          <w:color w:val="000000"/>
        </w:rPr>
        <w:t>report in a separate note</w:t>
      </w:r>
      <w:r w:rsidR="00146AB8">
        <w:rPr>
          <w:rFonts w:asciiTheme="majorHAnsi" w:hAnsiTheme="majorHAnsi" w:cstheme="majorHAnsi"/>
          <w:color w:val="000000"/>
        </w:rPr>
        <w:t xml:space="preserve"> </w:t>
      </w:r>
      <w:r w:rsidR="006F4347" w:rsidRPr="006F4347">
        <w:rPr>
          <w:rFonts w:asciiTheme="majorHAnsi" w:hAnsiTheme="majorHAnsi" w:cstheme="majorHAnsi"/>
          <w:color w:val="000000"/>
        </w:rPr>
        <w:t xml:space="preserve">all </w:t>
      </w:r>
      <w:r w:rsidR="00146AB8">
        <w:rPr>
          <w:rFonts w:asciiTheme="majorHAnsi" w:hAnsiTheme="majorHAnsi" w:cstheme="majorHAnsi"/>
          <w:color w:val="000000"/>
        </w:rPr>
        <w:t xml:space="preserve">the </w:t>
      </w:r>
      <w:r w:rsidR="006F4347" w:rsidRPr="006F4347">
        <w:rPr>
          <w:rFonts w:asciiTheme="majorHAnsi" w:hAnsiTheme="majorHAnsi" w:cstheme="majorHAnsi"/>
          <w:color w:val="000000"/>
        </w:rPr>
        <w:t>additional sustainability impacts</w:t>
      </w:r>
      <w:r w:rsidR="006247D7">
        <w:rPr>
          <w:rFonts w:asciiTheme="majorHAnsi" w:hAnsiTheme="majorHAnsi" w:cstheme="majorHAnsi"/>
          <w:color w:val="000000"/>
        </w:rPr>
        <w:t xml:space="preserve"> referred to </w:t>
      </w:r>
      <w:r w:rsidR="006247D7" w:rsidRPr="006F4347">
        <w:rPr>
          <w:rFonts w:asciiTheme="majorHAnsi" w:hAnsiTheme="majorHAnsi" w:cstheme="majorHAnsi"/>
          <w:color w:val="000000"/>
        </w:rPr>
        <w:t>companies</w:t>
      </w:r>
      <w:r w:rsidR="006247D7">
        <w:rPr>
          <w:rFonts w:asciiTheme="majorHAnsi" w:hAnsiTheme="majorHAnsi" w:cstheme="majorHAnsi"/>
          <w:color w:val="000000"/>
        </w:rPr>
        <w:t xml:space="preserve"> that are not relevant from a financial point of view (</w:t>
      </w:r>
      <w:r w:rsidR="006F4347" w:rsidRPr="006F4347">
        <w:rPr>
          <w:rFonts w:asciiTheme="majorHAnsi" w:hAnsiTheme="majorHAnsi" w:cstheme="majorHAnsi"/>
          <w:color w:val="000000"/>
        </w:rPr>
        <w:t xml:space="preserve">but </w:t>
      </w:r>
      <w:r w:rsidR="006247D7">
        <w:rPr>
          <w:rFonts w:asciiTheme="majorHAnsi" w:hAnsiTheme="majorHAnsi" w:cstheme="majorHAnsi"/>
          <w:color w:val="000000"/>
        </w:rPr>
        <w:t xml:space="preserve">that are </w:t>
      </w:r>
      <w:r w:rsidR="006F4347" w:rsidRPr="006F4347">
        <w:rPr>
          <w:rFonts w:asciiTheme="majorHAnsi" w:hAnsiTheme="majorHAnsi" w:cstheme="majorHAnsi"/>
          <w:color w:val="000000"/>
        </w:rPr>
        <w:t xml:space="preserve">relevant </w:t>
      </w:r>
      <w:r w:rsidR="006247D7">
        <w:rPr>
          <w:rFonts w:asciiTheme="majorHAnsi" w:hAnsiTheme="majorHAnsi" w:cstheme="majorHAnsi"/>
          <w:color w:val="000000"/>
        </w:rPr>
        <w:t xml:space="preserve">for specific </w:t>
      </w:r>
      <w:r w:rsidR="006F4347" w:rsidRPr="006F4347">
        <w:rPr>
          <w:rFonts w:asciiTheme="majorHAnsi" w:hAnsiTheme="majorHAnsi" w:cstheme="majorHAnsi"/>
          <w:color w:val="000000"/>
        </w:rPr>
        <w:t xml:space="preserve">sustainability </w:t>
      </w:r>
      <w:r w:rsidR="006247D7">
        <w:rPr>
          <w:rFonts w:asciiTheme="majorHAnsi" w:hAnsiTheme="majorHAnsi" w:cstheme="majorHAnsi"/>
          <w:color w:val="000000"/>
        </w:rPr>
        <w:t>aspects)</w:t>
      </w:r>
      <w:r w:rsidR="000912AE">
        <w:rPr>
          <w:rFonts w:asciiTheme="majorHAnsi" w:hAnsiTheme="majorHAnsi" w:cstheme="majorHAnsi"/>
          <w:color w:val="000000"/>
        </w:rPr>
        <w:t xml:space="preserve">; this information should be focused only on those matters that are relevant for sustainability purposes avoiding the presentation of a full set of information/datapoints that would </w:t>
      </w:r>
      <w:r w:rsidR="002710EB">
        <w:rPr>
          <w:rFonts w:asciiTheme="majorHAnsi" w:hAnsiTheme="majorHAnsi" w:cstheme="majorHAnsi"/>
          <w:color w:val="000000"/>
        </w:rPr>
        <w:t xml:space="preserve">otherwise represent a mere </w:t>
      </w:r>
      <w:r w:rsidR="000912AE">
        <w:rPr>
          <w:rFonts w:asciiTheme="majorHAnsi" w:hAnsiTheme="majorHAnsi" w:cstheme="majorHAnsi"/>
          <w:color w:val="000000"/>
        </w:rPr>
        <w:t>compliance information</w:t>
      </w:r>
      <w:r w:rsidR="006247D7">
        <w:rPr>
          <w:rFonts w:asciiTheme="majorHAnsi" w:hAnsiTheme="majorHAnsi" w:cstheme="majorHAnsi"/>
          <w:color w:val="000000"/>
        </w:rPr>
        <w:t>.</w:t>
      </w:r>
      <w:r w:rsidR="006F4347" w:rsidRPr="006F4347">
        <w:rPr>
          <w:rFonts w:asciiTheme="majorHAnsi" w:hAnsiTheme="majorHAnsi" w:cstheme="majorHAnsi"/>
          <w:color w:val="000000"/>
        </w:rPr>
        <w:t xml:space="preserve"> </w:t>
      </w:r>
    </w:p>
    <w:p w14:paraId="6EB7C675" w14:textId="77777777" w:rsidR="001472FC" w:rsidRDefault="001472FC" w:rsidP="002A7269">
      <w:pPr>
        <w:jc w:val="both"/>
        <w:rPr>
          <w:rFonts w:asciiTheme="majorHAnsi" w:hAnsiTheme="majorHAnsi" w:cstheme="majorHAnsi"/>
          <w:b/>
          <w:bCs/>
          <w:color w:val="000000"/>
        </w:rPr>
      </w:pPr>
    </w:p>
    <w:p w14:paraId="74BE5E9B" w14:textId="4D47B2CB" w:rsidR="007D64EC" w:rsidRDefault="007D64EC" w:rsidP="007D64EC">
      <w:pPr>
        <w:jc w:val="both"/>
        <w:rPr>
          <w:rFonts w:asciiTheme="majorHAnsi" w:hAnsiTheme="majorHAnsi" w:cstheme="majorHAnsi"/>
          <w:b/>
          <w:bCs/>
          <w:color w:val="000000"/>
        </w:rPr>
      </w:pPr>
      <w:r>
        <w:rPr>
          <w:rFonts w:asciiTheme="majorHAnsi" w:hAnsiTheme="majorHAnsi" w:cstheme="majorHAnsi"/>
          <w:b/>
          <w:bCs/>
          <w:color w:val="000000"/>
        </w:rPr>
        <w:t xml:space="preserve">2.3 From own operations to value chain – </w:t>
      </w:r>
      <w:r w:rsidR="00ED4633" w:rsidRPr="00ED4633">
        <w:rPr>
          <w:rFonts w:asciiTheme="majorHAnsi" w:hAnsiTheme="majorHAnsi" w:cstheme="majorHAnsi"/>
          <w:b/>
          <w:bCs/>
          <w:color w:val="000000"/>
        </w:rPr>
        <w:t>Mapping of financial reporting concepts to sustainability reporting</w:t>
      </w:r>
      <w:r w:rsidR="00ED4633">
        <w:rPr>
          <w:rFonts w:asciiTheme="majorHAnsi" w:hAnsiTheme="majorHAnsi" w:cstheme="majorHAnsi"/>
          <w:b/>
          <w:bCs/>
          <w:color w:val="000000"/>
        </w:rPr>
        <w:t>, table at Par. 5</w:t>
      </w:r>
      <w:r w:rsidR="00254872">
        <w:rPr>
          <w:rFonts w:asciiTheme="majorHAnsi" w:hAnsiTheme="majorHAnsi" w:cstheme="majorHAnsi"/>
          <w:b/>
          <w:bCs/>
          <w:color w:val="000000"/>
        </w:rPr>
        <w:t>2</w:t>
      </w:r>
    </w:p>
    <w:p w14:paraId="5E3CA630" w14:textId="77777777" w:rsidR="00ED4633" w:rsidRDefault="00ED4633" w:rsidP="007D64EC">
      <w:pPr>
        <w:jc w:val="both"/>
        <w:rPr>
          <w:rFonts w:asciiTheme="majorHAnsi" w:hAnsiTheme="majorHAnsi" w:cstheme="majorHAnsi"/>
          <w:b/>
          <w:bCs/>
          <w:color w:val="000000"/>
        </w:rPr>
      </w:pPr>
    </w:p>
    <w:p w14:paraId="0B44726A" w14:textId="6CA95DAE" w:rsidR="00ED4633" w:rsidRPr="00205023" w:rsidRDefault="00242784" w:rsidP="007D64EC">
      <w:pPr>
        <w:jc w:val="both"/>
        <w:rPr>
          <w:rFonts w:asciiTheme="majorHAnsi" w:hAnsiTheme="majorHAnsi" w:cstheme="majorHAnsi"/>
          <w:color w:val="000000"/>
        </w:rPr>
      </w:pPr>
      <w:r w:rsidRPr="00180DCA">
        <w:rPr>
          <w:rFonts w:asciiTheme="majorHAnsi" w:hAnsiTheme="majorHAnsi" w:cstheme="majorHAnsi"/>
          <w:color w:val="000000"/>
        </w:rPr>
        <w:t>GHG emissions should be separated from other metrics</w:t>
      </w:r>
      <w:r w:rsidR="003077F5">
        <w:rPr>
          <w:rFonts w:asciiTheme="majorHAnsi" w:hAnsiTheme="majorHAnsi" w:cstheme="majorHAnsi"/>
          <w:color w:val="000000"/>
        </w:rPr>
        <w:t xml:space="preserve"> </w:t>
      </w:r>
      <w:r w:rsidRPr="00180DCA">
        <w:rPr>
          <w:rFonts w:asciiTheme="majorHAnsi" w:hAnsiTheme="majorHAnsi" w:cstheme="majorHAnsi"/>
          <w:color w:val="000000"/>
        </w:rPr>
        <w:t>(pollution, biodiversity)</w:t>
      </w:r>
      <w:r w:rsidR="003077F5">
        <w:rPr>
          <w:rFonts w:asciiTheme="majorHAnsi" w:hAnsiTheme="majorHAnsi" w:cstheme="majorHAnsi"/>
          <w:color w:val="000000"/>
        </w:rPr>
        <w:t xml:space="preserve"> and a specific column should be added on how to treat </w:t>
      </w:r>
      <w:r w:rsidR="00B60DC9">
        <w:rPr>
          <w:rFonts w:asciiTheme="majorHAnsi" w:hAnsiTheme="majorHAnsi" w:cstheme="majorHAnsi"/>
          <w:color w:val="000000"/>
        </w:rPr>
        <w:t>the different cases for GHG and other topics</w:t>
      </w:r>
      <w:r w:rsidRPr="00180DCA">
        <w:rPr>
          <w:rFonts w:asciiTheme="majorHAnsi" w:hAnsiTheme="majorHAnsi" w:cstheme="majorHAnsi"/>
          <w:color w:val="000000"/>
        </w:rPr>
        <w:t xml:space="preserve">. </w:t>
      </w:r>
      <w:r w:rsidR="000912AE">
        <w:rPr>
          <w:rFonts w:asciiTheme="majorHAnsi" w:hAnsiTheme="majorHAnsi" w:cstheme="majorHAnsi"/>
          <w:color w:val="000000"/>
        </w:rPr>
        <w:t>Moreover</w:t>
      </w:r>
      <w:r w:rsidRPr="00180DCA">
        <w:rPr>
          <w:rFonts w:asciiTheme="majorHAnsi" w:hAnsiTheme="majorHAnsi" w:cstheme="majorHAnsi"/>
          <w:color w:val="000000"/>
        </w:rPr>
        <w:t xml:space="preserve">, it would </w:t>
      </w:r>
      <w:r w:rsidRPr="00205023">
        <w:rPr>
          <w:rFonts w:asciiTheme="majorHAnsi" w:hAnsiTheme="majorHAnsi" w:cstheme="majorHAnsi"/>
          <w:color w:val="000000"/>
        </w:rPr>
        <w:t>also be useful to separate GHG scope 1,2 and scope 3.</w:t>
      </w:r>
    </w:p>
    <w:p w14:paraId="731327C1" w14:textId="77777777" w:rsidR="00A357AC" w:rsidRPr="00205023" w:rsidRDefault="00254872" w:rsidP="007D64EC">
      <w:pPr>
        <w:jc w:val="both"/>
        <w:rPr>
          <w:rFonts w:asciiTheme="majorHAnsi" w:hAnsiTheme="majorHAnsi" w:cstheme="majorHAnsi"/>
          <w:color w:val="000000"/>
        </w:rPr>
      </w:pPr>
      <w:r w:rsidRPr="00205023">
        <w:rPr>
          <w:rFonts w:asciiTheme="majorHAnsi" w:hAnsiTheme="majorHAnsi" w:cstheme="majorHAnsi"/>
          <w:color w:val="000000"/>
        </w:rPr>
        <w:t>It would be better to</w:t>
      </w:r>
      <w:r w:rsidR="00A357AC" w:rsidRPr="00205023">
        <w:rPr>
          <w:rFonts w:asciiTheme="majorHAnsi" w:hAnsiTheme="majorHAnsi" w:cstheme="majorHAnsi"/>
          <w:color w:val="000000"/>
        </w:rPr>
        <w:t xml:space="preserve">: </w:t>
      </w:r>
    </w:p>
    <w:p w14:paraId="1881B25C" w14:textId="023951F2" w:rsidR="00A357AC" w:rsidRPr="00205023" w:rsidRDefault="00254872" w:rsidP="00A357AC">
      <w:pPr>
        <w:pStyle w:val="ListParagraph"/>
        <w:numPr>
          <w:ilvl w:val="0"/>
          <w:numId w:val="9"/>
        </w:numPr>
        <w:jc w:val="both"/>
        <w:rPr>
          <w:rFonts w:asciiTheme="majorHAnsi" w:hAnsiTheme="majorHAnsi" w:cstheme="majorHAnsi"/>
          <w:color w:val="000000"/>
          <w:sz w:val="24"/>
          <w:szCs w:val="24"/>
          <w:lang w:val="en-US"/>
        </w:rPr>
      </w:pPr>
      <w:r w:rsidRPr="00205023">
        <w:rPr>
          <w:rFonts w:asciiTheme="majorHAnsi" w:hAnsiTheme="majorHAnsi" w:cstheme="majorHAnsi"/>
          <w:color w:val="000000"/>
          <w:sz w:val="24"/>
          <w:szCs w:val="24"/>
          <w:lang w:val="en-US"/>
        </w:rPr>
        <w:t xml:space="preserve">make a specific </w:t>
      </w:r>
      <w:r w:rsidR="00B60DC9" w:rsidRPr="00205023">
        <w:rPr>
          <w:rFonts w:asciiTheme="majorHAnsi" w:hAnsiTheme="majorHAnsi" w:cstheme="majorHAnsi"/>
          <w:color w:val="000000"/>
          <w:sz w:val="24"/>
          <w:szCs w:val="24"/>
          <w:lang w:val="en-US"/>
        </w:rPr>
        <w:t>reference</w:t>
      </w:r>
      <w:r w:rsidRPr="00205023">
        <w:rPr>
          <w:rFonts w:asciiTheme="majorHAnsi" w:hAnsiTheme="majorHAnsi" w:cstheme="majorHAnsi"/>
          <w:color w:val="000000"/>
          <w:sz w:val="24"/>
          <w:szCs w:val="24"/>
          <w:lang w:val="en-US"/>
        </w:rPr>
        <w:t xml:space="preserve">, in the table, </w:t>
      </w:r>
      <w:r w:rsidR="006407A0" w:rsidRPr="00205023">
        <w:rPr>
          <w:rFonts w:asciiTheme="majorHAnsi" w:hAnsiTheme="majorHAnsi" w:cstheme="majorHAnsi"/>
          <w:color w:val="000000"/>
          <w:sz w:val="24"/>
          <w:szCs w:val="24"/>
          <w:lang w:val="en-US"/>
        </w:rPr>
        <w:t xml:space="preserve">to </w:t>
      </w:r>
      <w:r w:rsidRPr="00205023">
        <w:rPr>
          <w:rFonts w:asciiTheme="majorHAnsi" w:hAnsiTheme="majorHAnsi" w:cstheme="majorHAnsi"/>
          <w:color w:val="000000"/>
          <w:sz w:val="24"/>
          <w:szCs w:val="24"/>
          <w:lang w:val="en-US"/>
        </w:rPr>
        <w:t>incorporated and un-incorporated J</w:t>
      </w:r>
      <w:r w:rsidR="00803D9B" w:rsidRPr="00205023">
        <w:rPr>
          <w:rFonts w:asciiTheme="majorHAnsi" w:hAnsiTheme="majorHAnsi" w:cstheme="majorHAnsi"/>
          <w:color w:val="000000"/>
          <w:sz w:val="24"/>
          <w:szCs w:val="24"/>
          <w:lang w:val="en-US"/>
        </w:rPr>
        <w:t>O</w:t>
      </w:r>
      <w:r w:rsidRPr="00205023">
        <w:rPr>
          <w:rFonts w:asciiTheme="majorHAnsi" w:hAnsiTheme="majorHAnsi" w:cstheme="majorHAnsi"/>
          <w:color w:val="000000"/>
          <w:sz w:val="24"/>
          <w:szCs w:val="24"/>
          <w:lang w:val="en-US"/>
        </w:rPr>
        <w:t>s</w:t>
      </w:r>
      <w:r w:rsidR="00B60DC9" w:rsidRPr="00205023">
        <w:rPr>
          <w:rFonts w:asciiTheme="majorHAnsi" w:hAnsiTheme="majorHAnsi" w:cstheme="majorHAnsi"/>
          <w:color w:val="000000"/>
          <w:sz w:val="24"/>
          <w:szCs w:val="24"/>
          <w:lang w:val="en-US"/>
        </w:rPr>
        <w:t xml:space="preserve"> and clearly state that they </w:t>
      </w:r>
      <w:r w:rsidR="000912AE" w:rsidRPr="00205023">
        <w:rPr>
          <w:rFonts w:asciiTheme="majorHAnsi" w:hAnsiTheme="majorHAnsi" w:cstheme="majorHAnsi"/>
          <w:color w:val="000000"/>
          <w:sz w:val="24"/>
          <w:szCs w:val="24"/>
          <w:lang w:val="en-US"/>
        </w:rPr>
        <w:t xml:space="preserve">(both) </w:t>
      </w:r>
      <w:r w:rsidR="00205023" w:rsidRPr="00205023">
        <w:rPr>
          <w:rFonts w:asciiTheme="majorHAnsi" w:hAnsiTheme="majorHAnsi" w:cstheme="majorHAnsi"/>
          <w:color w:val="000000"/>
          <w:sz w:val="24"/>
          <w:szCs w:val="24"/>
          <w:lang w:val="en-US"/>
        </w:rPr>
        <w:t>must</w:t>
      </w:r>
      <w:r w:rsidR="00B60DC9" w:rsidRPr="00205023">
        <w:rPr>
          <w:rFonts w:asciiTheme="majorHAnsi" w:hAnsiTheme="majorHAnsi" w:cstheme="majorHAnsi"/>
          <w:color w:val="000000"/>
          <w:sz w:val="24"/>
          <w:szCs w:val="24"/>
          <w:lang w:val="en-US"/>
        </w:rPr>
        <w:t xml:space="preserve"> be tested for operational control</w:t>
      </w:r>
      <w:r w:rsidR="00E92D70" w:rsidRPr="00205023">
        <w:rPr>
          <w:rFonts w:asciiTheme="majorHAnsi" w:hAnsiTheme="majorHAnsi" w:cstheme="majorHAnsi"/>
          <w:color w:val="000000"/>
          <w:sz w:val="24"/>
          <w:szCs w:val="24"/>
          <w:lang w:val="en-US"/>
        </w:rPr>
        <w:t xml:space="preserve"> (same as for the JVs)</w:t>
      </w:r>
      <w:r w:rsidR="00205023">
        <w:rPr>
          <w:rFonts w:asciiTheme="majorHAnsi" w:hAnsiTheme="majorHAnsi" w:cstheme="majorHAnsi"/>
          <w:color w:val="000000"/>
          <w:sz w:val="24"/>
          <w:szCs w:val="24"/>
          <w:lang w:val="en-US"/>
        </w:rPr>
        <w:t>;</w:t>
      </w:r>
    </w:p>
    <w:p w14:paraId="3B8195E3" w14:textId="393E4F6F" w:rsidR="00254872" w:rsidRPr="00205023" w:rsidRDefault="000912AE" w:rsidP="00205023">
      <w:pPr>
        <w:pStyle w:val="ListParagraph"/>
        <w:numPr>
          <w:ilvl w:val="0"/>
          <w:numId w:val="9"/>
        </w:numPr>
        <w:jc w:val="both"/>
        <w:rPr>
          <w:rFonts w:asciiTheme="majorHAnsi" w:hAnsiTheme="majorHAnsi" w:cstheme="majorHAnsi"/>
          <w:color w:val="000000"/>
          <w:sz w:val="24"/>
          <w:szCs w:val="24"/>
          <w:lang w:val="en-US"/>
        </w:rPr>
      </w:pPr>
      <w:r w:rsidRPr="00205023">
        <w:rPr>
          <w:rFonts w:asciiTheme="majorHAnsi" w:hAnsiTheme="majorHAnsi" w:cstheme="majorHAnsi"/>
          <w:color w:val="000000"/>
          <w:sz w:val="24"/>
          <w:szCs w:val="24"/>
          <w:lang w:val="en-US"/>
        </w:rPr>
        <w:t>Clarify that the</w:t>
      </w:r>
      <w:r w:rsidR="00E73223" w:rsidRPr="00205023">
        <w:rPr>
          <w:rFonts w:asciiTheme="majorHAnsi" w:hAnsiTheme="majorHAnsi" w:cstheme="majorHAnsi"/>
          <w:color w:val="000000"/>
          <w:sz w:val="24"/>
          <w:szCs w:val="24"/>
          <w:lang w:val="en-US"/>
        </w:rPr>
        <w:t xml:space="preserve"> test for operational control should be </w:t>
      </w:r>
      <w:r w:rsidR="00B56D39" w:rsidRPr="00205023">
        <w:rPr>
          <w:rFonts w:asciiTheme="majorHAnsi" w:hAnsiTheme="majorHAnsi" w:cstheme="majorHAnsi"/>
          <w:color w:val="000000"/>
          <w:sz w:val="24"/>
          <w:szCs w:val="24"/>
          <w:lang w:val="en-US"/>
        </w:rPr>
        <w:t xml:space="preserve">also </w:t>
      </w:r>
      <w:r w:rsidR="00E73223" w:rsidRPr="00205023">
        <w:rPr>
          <w:rFonts w:asciiTheme="majorHAnsi" w:hAnsiTheme="majorHAnsi" w:cstheme="majorHAnsi"/>
          <w:color w:val="000000"/>
          <w:sz w:val="24"/>
          <w:szCs w:val="24"/>
          <w:lang w:val="en-US"/>
        </w:rPr>
        <w:t xml:space="preserve">conducted </w:t>
      </w:r>
      <w:r w:rsidR="00B56D39" w:rsidRPr="00205023">
        <w:rPr>
          <w:rFonts w:asciiTheme="majorHAnsi" w:hAnsiTheme="majorHAnsi" w:cstheme="majorHAnsi"/>
          <w:color w:val="000000"/>
          <w:sz w:val="24"/>
          <w:szCs w:val="24"/>
          <w:lang w:val="en-US"/>
        </w:rPr>
        <w:t>for JOs that are not structured through an entity (please see next comment for further explanation)</w:t>
      </w:r>
      <w:r w:rsidR="009D746F" w:rsidRPr="00205023">
        <w:rPr>
          <w:rFonts w:asciiTheme="majorHAnsi" w:hAnsiTheme="majorHAnsi" w:cstheme="majorHAnsi"/>
          <w:color w:val="000000"/>
          <w:sz w:val="24"/>
          <w:szCs w:val="24"/>
          <w:lang w:val="en-US"/>
        </w:rPr>
        <w:t>; this</w:t>
      </w:r>
      <w:r w:rsidRPr="00205023">
        <w:rPr>
          <w:rFonts w:asciiTheme="majorHAnsi" w:hAnsiTheme="majorHAnsi" w:cstheme="majorHAnsi"/>
          <w:color w:val="000000"/>
          <w:sz w:val="24"/>
          <w:szCs w:val="24"/>
          <w:lang w:val="en-US"/>
        </w:rPr>
        <w:t xml:space="preserve"> would help to treat similar cases (JO incorporated vs JO not incorporated) in the same way</w:t>
      </w:r>
      <w:r w:rsidR="00B56D39" w:rsidRPr="00205023">
        <w:rPr>
          <w:rFonts w:asciiTheme="majorHAnsi" w:hAnsiTheme="majorHAnsi" w:cstheme="majorHAnsi"/>
          <w:color w:val="000000"/>
          <w:sz w:val="24"/>
          <w:szCs w:val="24"/>
          <w:lang w:val="en-US"/>
        </w:rPr>
        <w:t>.</w:t>
      </w:r>
    </w:p>
    <w:p w14:paraId="7FA6865C" w14:textId="77777777" w:rsidR="00847FF7" w:rsidRDefault="00847FF7" w:rsidP="002A7269">
      <w:pPr>
        <w:jc w:val="both"/>
        <w:rPr>
          <w:rFonts w:asciiTheme="majorHAnsi" w:hAnsiTheme="majorHAnsi" w:cstheme="majorHAnsi"/>
          <w:b/>
          <w:bCs/>
          <w:color w:val="000000"/>
        </w:rPr>
      </w:pPr>
    </w:p>
    <w:p w14:paraId="1ABAC437" w14:textId="39EE4E76" w:rsidR="00254872" w:rsidRDefault="00254872" w:rsidP="00254872">
      <w:pPr>
        <w:jc w:val="both"/>
        <w:rPr>
          <w:rFonts w:asciiTheme="majorHAnsi" w:hAnsiTheme="majorHAnsi" w:cstheme="majorHAnsi"/>
          <w:b/>
          <w:bCs/>
          <w:color w:val="000000"/>
        </w:rPr>
      </w:pPr>
      <w:r>
        <w:rPr>
          <w:rFonts w:asciiTheme="majorHAnsi" w:hAnsiTheme="majorHAnsi" w:cstheme="majorHAnsi"/>
          <w:b/>
          <w:bCs/>
          <w:color w:val="000000"/>
        </w:rPr>
        <w:t xml:space="preserve">2.3 From own operations to value chain – </w:t>
      </w:r>
      <w:r w:rsidRPr="00ED4633">
        <w:rPr>
          <w:rFonts w:asciiTheme="majorHAnsi" w:hAnsiTheme="majorHAnsi" w:cstheme="majorHAnsi"/>
          <w:b/>
          <w:bCs/>
          <w:color w:val="000000"/>
        </w:rPr>
        <w:t>Mapping of financial reporting concepts to sustainability reporting</w:t>
      </w:r>
      <w:r>
        <w:rPr>
          <w:rFonts w:asciiTheme="majorHAnsi" w:hAnsiTheme="majorHAnsi" w:cstheme="majorHAnsi"/>
          <w:b/>
          <w:bCs/>
          <w:color w:val="000000"/>
        </w:rPr>
        <w:t>, graph at Par. 53</w:t>
      </w:r>
    </w:p>
    <w:p w14:paraId="1245955C" w14:textId="77777777" w:rsidR="00484BAD" w:rsidRDefault="00484BAD" w:rsidP="00254872">
      <w:pPr>
        <w:jc w:val="both"/>
        <w:rPr>
          <w:rFonts w:asciiTheme="majorHAnsi" w:hAnsiTheme="majorHAnsi" w:cstheme="majorHAnsi"/>
          <w:b/>
          <w:bCs/>
          <w:color w:val="000000"/>
        </w:rPr>
      </w:pPr>
    </w:p>
    <w:p w14:paraId="58CC97F3" w14:textId="77777777" w:rsidR="00337859" w:rsidRPr="00337859" w:rsidRDefault="00337859" w:rsidP="00337859">
      <w:pPr>
        <w:jc w:val="both"/>
        <w:rPr>
          <w:rFonts w:asciiTheme="majorHAnsi" w:hAnsiTheme="majorHAnsi" w:cstheme="majorHAnsi"/>
          <w:color w:val="000000"/>
        </w:rPr>
      </w:pPr>
      <w:r w:rsidRPr="00337859">
        <w:rPr>
          <w:rFonts w:asciiTheme="majorHAnsi" w:hAnsiTheme="majorHAnsi" w:cstheme="majorHAnsi"/>
          <w:color w:val="000000"/>
        </w:rPr>
        <w:t>Joint Operations</w:t>
      </w:r>
    </w:p>
    <w:p w14:paraId="3BEE1C92" w14:textId="77777777" w:rsidR="00337859" w:rsidRPr="006A3D56" w:rsidRDefault="00337859" w:rsidP="00337859">
      <w:pPr>
        <w:jc w:val="both"/>
        <w:rPr>
          <w:rFonts w:asciiTheme="majorHAnsi" w:hAnsiTheme="majorHAnsi" w:cstheme="majorHAnsi"/>
          <w:color w:val="000000"/>
        </w:rPr>
      </w:pPr>
      <w:r w:rsidRPr="006A3D56">
        <w:rPr>
          <w:rFonts w:asciiTheme="majorHAnsi" w:hAnsiTheme="majorHAnsi" w:cstheme="majorHAnsi"/>
          <w:color w:val="000000"/>
        </w:rPr>
        <w:t xml:space="preserve">(Paragraph 52 and 53): In our view the guide does not clarify the treatment of Joint Operations in sustainability Reporting, i.e. when they should be included in the “own operations” metrics and when part of the value chain. In particular, table at par. 52 indicates for Joint Operations </w:t>
      </w:r>
      <w:r w:rsidRPr="006A3D56">
        <w:rPr>
          <w:rFonts w:asciiTheme="majorHAnsi" w:hAnsiTheme="majorHAnsi" w:cstheme="majorHAnsi"/>
          <w:color w:val="000000"/>
        </w:rPr>
        <w:lastRenderedPageBreak/>
        <w:t xml:space="preserve">“same as for associates except for joint operations where the assets/liabilities belong to the reporting undertaking and so form part of own operations.” </w:t>
      </w:r>
    </w:p>
    <w:p w14:paraId="38CAD7F8" w14:textId="77777777" w:rsidR="00337859" w:rsidRPr="006A3D56" w:rsidRDefault="00337859" w:rsidP="00337859">
      <w:pPr>
        <w:jc w:val="both"/>
        <w:rPr>
          <w:rFonts w:asciiTheme="majorHAnsi" w:hAnsiTheme="majorHAnsi" w:cstheme="majorHAnsi"/>
          <w:color w:val="000000"/>
        </w:rPr>
      </w:pPr>
      <w:r w:rsidRPr="006A3D56">
        <w:rPr>
          <w:rFonts w:asciiTheme="majorHAnsi" w:hAnsiTheme="majorHAnsi" w:cstheme="majorHAnsi"/>
          <w:color w:val="000000"/>
        </w:rPr>
        <w:t>Similarly, the flow chart included in para. 53 indicates that “Reporting undertaking” is defined as Parent plus subsidiaries (including leased assets and own assets/liabilities used in Joint Operations).</w:t>
      </w:r>
    </w:p>
    <w:p w14:paraId="58CC1125" w14:textId="77777777" w:rsidR="00337859" w:rsidRPr="006A3D56" w:rsidRDefault="00337859" w:rsidP="00337859">
      <w:pPr>
        <w:jc w:val="both"/>
        <w:rPr>
          <w:rFonts w:asciiTheme="majorHAnsi" w:hAnsiTheme="majorHAnsi" w:cstheme="majorHAnsi"/>
          <w:color w:val="000000"/>
        </w:rPr>
      </w:pPr>
    </w:p>
    <w:p w14:paraId="27BAA04B" w14:textId="60A32E37" w:rsidR="00337859" w:rsidRPr="006A3D56" w:rsidRDefault="00337859" w:rsidP="00337859">
      <w:pPr>
        <w:jc w:val="both"/>
        <w:rPr>
          <w:rFonts w:asciiTheme="majorHAnsi" w:hAnsiTheme="majorHAnsi" w:cstheme="majorHAnsi"/>
          <w:color w:val="000000"/>
        </w:rPr>
      </w:pPr>
      <w:r w:rsidRPr="006A3D56">
        <w:rPr>
          <w:rFonts w:asciiTheme="majorHAnsi" w:hAnsiTheme="majorHAnsi" w:cstheme="majorHAnsi"/>
          <w:color w:val="000000"/>
        </w:rPr>
        <w:t>The guidance</w:t>
      </w:r>
      <w:r w:rsidR="00427F61">
        <w:rPr>
          <w:rFonts w:asciiTheme="majorHAnsi" w:hAnsiTheme="majorHAnsi" w:cstheme="majorHAnsi"/>
          <w:color w:val="000000"/>
        </w:rPr>
        <w:t xml:space="preserve"> seems to </w:t>
      </w:r>
      <w:r w:rsidRPr="006A3D56">
        <w:rPr>
          <w:rFonts w:asciiTheme="majorHAnsi" w:hAnsiTheme="majorHAnsi" w:cstheme="majorHAnsi"/>
          <w:color w:val="000000"/>
        </w:rPr>
        <w:t xml:space="preserve">suggest that the data related to JO’s are part of the “Group” and therefore reported in the metrics related to “own operations”. </w:t>
      </w:r>
    </w:p>
    <w:p w14:paraId="3DA42DA5" w14:textId="159D09B4" w:rsidR="00337859" w:rsidRPr="006A3D56" w:rsidRDefault="00337859" w:rsidP="00337859">
      <w:pPr>
        <w:jc w:val="both"/>
        <w:rPr>
          <w:rFonts w:asciiTheme="majorHAnsi" w:hAnsiTheme="majorHAnsi" w:cstheme="majorHAnsi"/>
          <w:color w:val="000000"/>
        </w:rPr>
      </w:pPr>
      <w:r w:rsidRPr="006A3D56">
        <w:rPr>
          <w:rFonts w:asciiTheme="majorHAnsi" w:hAnsiTheme="majorHAnsi" w:cstheme="majorHAnsi"/>
          <w:color w:val="000000"/>
        </w:rPr>
        <w:t xml:space="preserve">However, this is in contrast with the ESRS E1 para. 46 indicating “when disclosing the information on GHG emissions… for contractual arrangements that are </w:t>
      </w:r>
      <w:r w:rsidRPr="006A3D56">
        <w:rPr>
          <w:rFonts w:asciiTheme="majorHAnsi" w:hAnsiTheme="majorHAnsi" w:cstheme="majorHAnsi"/>
          <w:color w:val="000000"/>
          <w:u w:val="single"/>
        </w:rPr>
        <w:t>joint arrangement not structured through an entity</w:t>
      </w:r>
      <w:r w:rsidRPr="006A3D56">
        <w:rPr>
          <w:rFonts w:asciiTheme="majorHAnsi" w:hAnsiTheme="majorHAnsi" w:cstheme="majorHAnsi"/>
          <w:color w:val="000000"/>
        </w:rPr>
        <w:t xml:space="preserve"> the undertaking shall include the GHG emissions in accordance with the extent of the undertaking operational control over them”</w:t>
      </w:r>
      <w:r w:rsidR="003B128A">
        <w:rPr>
          <w:rFonts w:asciiTheme="majorHAnsi" w:hAnsiTheme="majorHAnsi" w:cstheme="majorHAnsi"/>
          <w:color w:val="000000"/>
        </w:rPr>
        <w:t>;  t</w:t>
      </w:r>
      <w:r w:rsidRPr="006A3D56">
        <w:rPr>
          <w:rFonts w:asciiTheme="majorHAnsi" w:hAnsiTheme="majorHAnsi" w:cstheme="majorHAnsi"/>
          <w:color w:val="000000"/>
        </w:rPr>
        <w:t xml:space="preserve">his seems to indicate that according to the ESRS E1 DR6 if the enterprise holds operational control over the JO it must consolidate GHG emissions in the operational control boundary (100% scope 1 and scope 2), otherwise it must report them in scope 3 on the basis of the business relationships maintained. </w:t>
      </w:r>
    </w:p>
    <w:p w14:paraId="5E77E8F5" w14:textId="77777777" w:rsidR="00337859" w:rsidRPr="006A3D56" w:rsidRDefault="00337859" w:rsidP="00337859">
      <w:pPr>
        <w:jc w:val="both"/>
        <w:rPr>
          <w:rFonts w:asciiTheme="majorHAnsi" w:hAnsiTheme="majorHAnsi" w:cstheme="majorHAnsi"/>
          <w:color w:val="000000"/>
        </w:rPr>
      </w:pPr>
    </w:p>
    <w:p w14:paraId="3930ECED" w14:textId="77777777" w:rsidR="00337859" w:rsidRPr="006A3D56" w:rsidRDefault="00337859" w:rsidP="00337859">
      <w:pPr>
        <w:jc w:val="both"/>
        <w:rPr>
          <w:rFonts w:asciiTheme="majorHAnsi" w:hAnsiTheme="majorHAnsi" w:cstheme="majorHAnsi"/>
          <w:color w:val="000000"/>
        </w:rPr>
      </w:pPr>
      <w:r w:rsidRPr="006A3D56">
        <w:rPr>
          <w:rFonts w:asciiTheme="majorHAnsi" w:hAnsiTheme="majorHAnsi" w:cstheme="majorHAnsi"/>
          <w:color w:val="000000"/>
        </w:rPr>
        <w:t>Moreover, ESRS 1 para. 62 defines that if the company is a parent company required to draw up the consolidated financial statements, the sustainability statement will cover the entire “Group”.</w:t>
      </w:r>
    </w:p>
    <w:p w14:paraId="24FE057C" w14:textId="77777777" w:rsidR="00337859" w:rsidRPr="006A3D56" w:rsidRDefault="00337859" w:rsidP="00337859">
      <w:pPr>
        <w:jc w:val="both"/>
        <w:rPr>
          <w:rFonts w:asciiTheme="majorHAnsi" w:hAnsiTheme="majorHAnsi" w:cstheme="majorHAnsi"/>
          <w:color w:val="000000"/>
        </w:rPr>
      </w:pPr>
      <w:r w:rsidRPr="006A3D56">
        <w:rPr>
          <w:rFonts w:asciiTheme="majorHAnsi" w:hAnsiTheme="majorHAnsi" w:cstheme="majorHAnsi"/>
          <w:color w:val="000000"/>
        </w:rPr>
        <w:t>Group concept is defined by the Accounting Directive and by IFRS 10 as “Parent and its subsidiaries”. Finally, ESRS 1 par. 67 doesn’t mention Joint Operation, while indicates that JV and Associates are part of the undertaking value chain the undertaking shall include information related to those Associates or JVs in accordance with par. 63 as part of the value chain.</w:t>
      </w:r>
    </w:p>
    <w:p w14:paraId="4025212A" w14:textId="77777777" w:rsidR="00337859" w:rsidRPr="006A3D56" w:rsidRDefault="00337859" w:rsidP="00337859">
      <w:pPr>
        <w:jc w:val="both"/>
        <w:rPr>
          <w:rFonts w:asciiTheme="majorHAnsi" w:hAnsiTheme="majorHAnsi" w:cstheme="majorHAnsi"/>
          <w:b/>
          <w:bCs/>
          <w:color w:val="000000"/>
        </w:rPr>
      </w:pPr>
    </w:p>
    <w:p w14:paraId="248C1069" w14:textId="5564C592" w:rsidR="00337859" w:rsidRDefault="00337859" w:rsidP="005D1241">
      <w:pPr>
        <w:jc w:val="both"/>
        <w:rPr>
          <w:rFonts w:asciiTheme="majorHAnsi" w:hAnsiTheme="majorHAnsi" w:cstheme="majorHAnsi"/>
          <w:color w:val="000000"/>
        </w:rPr>
      </w:pPr>
      <w:r w:rsidRPr="006A3D56">
        <w:rPr>
          <w:rFonts w:asciiTheme="majorHAnsi" w:hAnsiTheme="majorHAnsi" w:cstheme="majorHAnsi"/>
          <w:color w:val="000000"/>
        </w:rPr>
        <w:t xml:space="preserve">In our view, Joint Operations </w:t>
      </w:r>
      <w:r w:rsidR="003B128A">
        <w:rPr>
          <w:rFonts w:asciiTheme="majorHAnsi" w:hAnsiTheme="majorHAnsi" w:cstheme="majorHAnsi"/>
          <w:color w:val="000000"/>
        </w:rPr>
        <w:t xml:space="preserve">(incorporated and unincorporated) </w:t>
      </w:r>
      <w:r w:rsidRPr="006A3D56">
        <w:rPr>
          <w:rFonts w:asciiTheme="majorHAnsi" w:hAnsiTheme="majorHAnsi" w:cstheme="majorHAnsi"/>
          <w:color w:val="000000"/>
        </w:rPr>
        <w:t>should be treated as per JVs and Associates, and therefore</w:t>
      </w:r>
      <w:r w:rsidR="005D1241">
        <w:rPr>
          <w:rFonts w:asciiTheme="majorHAnsi" w:hAnsiTheme="majorHAnsi" w:cstheme="majorHAnsi"/>
          <w:color w:val="000000"/>
        </w:rPr>
        <w:t>: i)</w:t>
      </w:r>
      <w:r w:rsidR="005D1241" w:rsidRPr="005D1241">
        <w:rPr>
          <w:rFonts w:asciiTheme="majorHAnsi" w:hAnsiTheme="majorHAnsi" w:cstheme="majorHAnsi"/>
          <w:color w:val="000000"/>
        </w:rPr>
        <w:t xml:space="preserve"> </w:t>
      </w:r>
      <w:r w:rsidR="005D1241" w:rsidRPr="006A3D56">
        <w:rPr>
          <w:rFonts w:asciiTheme="majorHAnsi" w:hAnsiTheme="majorHAnsi" w:cstheme="majorHAnsi"/>
          <w:color w:val="000000"/>
        </w:rPr>
        <w:t>treated as value chain actors</w:t>
      </w:r>
      <w:r w:rsidR="005D1241">
        <w:rPr>
          <w:rFonts w:asciiTheme="majorHAnsi" w:hAnsiTheme="majorHAnsi" w:cstheme="majorHAnsi"/>
          <w:color w:val="000000"/>
        </w:rPr>
        <w:t xml:space="preserve"> in the </w:t>
      </w:r>
      <w:r w:rsidR="005D1241" w:rsidRPr="006A3D56">
        <w:rPr>
          <w:rFonts w:asciiTheme="majorHAnsi" w:hAnsiTheme="majorHAnsi" w:cstheme="majorHAnsi"/>
          <w:color w:val="000000"/>
        </w:rPr>
        <w:t>absence of the operational control</w:t>
      </w:r>
      <w:r w:rsidR="005D1241">
        <w:rPr>
          <w:rFonts w:asciiTheme="majorHAnsi" w:hAnsiTheme="majorHAnsi" w:cstheme="majorHAnsi"/>
          <w:color w:val="000000"/>
        </w:rPr>
        <w:t xml:space="preserve">; ii) </w:t>
      </w:r>
      <w:r w:rsidR="005D1241" w:rsidRPr="006A3D56">
        <w:rPr>
          <w:rFonts w:asciiTheme="majorHAnsi" w:hAnsiTheme="majorHAnsi" w:cstheme="majorHAnsi"/>
          <w:color w:val="000000"/>
        </w:rPr>
        <w:t>consolidated 100%</w:t>
      </w:r>
      <w:r w:rsidR="005D1241">
        <w:rPr>
          <w:rFonts w:asciiTheme="majorHAnsi" w:hAnsiTheme="majorHAnsi" w:cstheme="majorHAnsi"/>
          <w:color w:val="000000"/>
        </w:rPr>
        <w:t xml:space="preserve">, in the </w:t>
      </w:r>
      <w:r w:rsidR="00041B8F">
        <w:rPr>
          <w:rFonts w:asciiTheme="majorHAnsi" w:hAnsiTheme="majorHAnsi" w:cstheme="majorHAnsi"/>
          <w:color w:val="000000"/>
        </w:rPr>
        <w:t>case (</w:t>
      </w:r>
      <w:r w:rsidR="005D1241">
        <w:rPr>
          <w:rFonts w:asciiTheme="majorHAnsi" w:hAnsiTheme="majorHAnsi" w:cstheme="majorHAnsi"/>
          <w:color w:val="000000"/>
        </w:rPr>
        <w:t>unlikely</w:t>
      </w:r>
      <w:r w:rsidR="00041B8F">
        <w:rPr>
          <w:rFonts w:asciiTheme="majorHAnsi" w:hAnsiTheme="majorHAnsi" w:cstheme="majorHAnsi"/>
          <w:color w:val="000000"/>
        </w:rPr>
        <w:t xml:space="preserve"> for incorporated JO)</w:t>
      </w:r>
      <w:r w:rsidR="005D1241">
        <w:rPr>
          <w:rFonts w:asciiTheme="majorHAnsi" w:hAnsiTheme="majorHAnsi" w:cstheme="majorHAnsi"/>
          <w:color w:val="000000"/>
        </w:rPr>
        <w:t xml:space="preserve"> in which the </w:t>
      </w:r>
      <w:r w:rsidRPr="006A3D56">
        <w:rPr>
          <w:rFonts w:asciiTheme="majorHAnsi" w:hAnsiTheme="majorHAnsi" w:cstheme="majorHAnsi"/>
          <w:color w:val="000000"/>
        </w:rPr>
        <w:t xml:space="preserve">reporting undertaking </w:t>
      </w:r>
      <w:r w:rsidR="005D1241">
        <w:rPr>
          <w:rFonts w:asciiTheme="majorHAnsi" w:hAnsiTheme="majorHAnsi" w:cstheme="majorHAnsi"/>
          <w:color w:val="000000"/>
        </w:rPr>
        <w:t xml:space="preserve">should </w:t>
      </w:r>
      <w:r w:rsidRPr="006A3D56">
        <w:rPr>
          <w:rFonts w:asciiTheme="majorHAnsi" w:hAnsiTheme="majorHAnsi" w:cstheme="majorHAnsi"/>
          <w:color w:val="000000"/>
        </w:rPr>
        <w:t>hold operational control</w:t>
      </w:r>
      <w:r w:rsidR="005D1241">
        <w:rPr>
          <w:rFonts w:asciiTheme="majorHAnsi" w:hAnsiTheme="majorHAnsi" w:cstheme="majorHAnsi"/>
          <w:color w:val="000000"/>
        </w:rPr>
        <w:t xml:space="preserve">. </w:t>
      </w:r>
    </w:p>
    <w:p w14:paraId="39E5F377" w14:textId="77777777" w:rsidR="005D1241" w:rsidRPr="005D1241" w:rsidRDefault="005D1241" w:rsidP="005D1241">
      <w:pPr>
        <w:jc w:val="both"/>
        <w:rPr>
          <w:rFonts w:asciiTheme="majorHAnsi" w:hAnsiTheme="majorHAnsi" w:cstheme="majorHAnsi"/>
          <w:color w:val="000000"/>
        </w:rPr>
      </w:pPr>
    </w:p>
    <w:p w14:paraId="2C5E464A" w14:textId="77777777" w:rsidR="00337859" w:rsidRPr="006A3D56" w:rsidRDefault="00337859" w:rsidP="00337859">
      <w:pPr>
        <w:jc w:val="both"/>
        <w:rPr>
          <w:rFonts w:asciiTheme="majorHAnsi" w:hAnsiTheme="majorHAnsi" w:cstheme="majorHAnsi"/>
        </w:rPr>
      </w:pPr>
      <w:r w:rsidRPr="006A3D56">
        <w:rPr>
          <w:rFonts w:asciiTheme="majorHAnsi" w:hAnsiTheme="majorHAnsi" w:cstheme="majorHAnsi"/>
        </w:rPr>
        <w:t>This seems to be consistent with the fact that in the absence of operational control, entities holding joint operations do not have power to influence policies, actions and targets (defined autonomously by the JO itself or by the subject holding the operational control)</w:t>
      </w:r>
      <w:r w:rsidRPr="006A3D56">
        <w:rPr>
          <w:rFonts w:asciiTheme="majorHAnsi" w:hAnsiTheme="majorHAnsi" w:cstheme="majorHAnsi"/>
          <w:color w:val="0070C0"/>
        </w:rPr>
        <w:t xml:space="preserve"> </w:t>
      </w:r>
      <w:r w:rsidRPr="006A3D56">
        <w:rPr>
          <w:rFonts w:asciiTheme="majorHAnsi" w:hAnsiTheme="majorHAnsi" w:cstheme="majorHAnsi"/>
        </w:rPr>
        <w:t>and should not be held accountable for the JO performance.</w:t>
      </w:r>
    </w:p>
    <w:p w14:paraId="37BB5CED" w14:textId="77777777" w:rsidR="00337859" w:rsidRPr="006A3D56" w:rsidRDefault="00337859" w:rsidP="00337859">
      <w:pPr>
        <w:jc w:val="both"/>
        <w:rPr>
          <w:rFonts w:asciiTheme="majorHAnsi" w:hAnsiTheme="majorHAnsi" w:cstheme="majorHAnsi"/>
          <w:color w:val="000000"/>
        </w:rPr>
      </w:pPr>
      <w:r w:rsidRPr="006A3D56">
        <w:rPr>
          <w:rFonts w:asciiTheme="majorHAnsi" w:hAnsiTheme="majorHAnsi" w:cstheme="majorHAnsi"/>
          <w:color w:val="000000"/>
        </w:rPr>
        <w:t>Furthermore, consolidating JOs in the “reporting entity” as “own operations”, and therefore for the interest held for the purpose of the sustainability statement is unapplicable because of the following criticalities:</w:t>
      </w:r>
    </w:p>
    <w:p w14:paraId="29E8B3FC" w14:textId="77777777" w:rsidR="00337859" w:rsidRPr="006A3D56" w:rsidRDefault="00337859" w:rsidP="00337859">
      <w:pPr>
        <w:jc w:val="both"/>
        <w:rPr>
          <w:rFonts w:asciiTheme="majorHAnsi" w:hAnsiTheme="majorHAnsi" w:cstheme="majorHAnsi"/>
          <w:color w:val="000000"/>
        </w:rPr>
      </w:pPr>
    </w:p>
    <w:p w14:paraId="5F4D93C0" w14:textId="77777777" w:rsidR="00337859" w:rsidRPr="006A3D56" w:rsidRDefault="00337859" w:rsidP="00337859">
      <w:pPr>
        <w:pStyle w:val="ListParagraph"/>
        <w:numPr>
          <w:ilvl w:val="0"/>
          <w:numId w:val="5"/>
        </w:numPr>
        <w:ind w:left="567" w:hanging="567"/>
        <w:jc w:val="both"/>
        <w:rPr>
          <w:rFonts w:asciiTheme="majorHAnsi" w:hAnsiTheme="majorHAnsi" w:cstheme="majorHAnsi"/>
          <w:color w:val="000000"/>
          <w:sz w:val="24"/>
          <w:szCs w:val="24"/>
          <w:lang w:val="en-US"/>
        </w:rPr>
      </w:pPr>
      <w:r w:rsidRPr="006A3D56">
        <w:rPr>
          <w:rFonts w:asciiTheme="majorHAnsi" w:hAnsiTheme="majorHAnsi" w:cstheme="majorHAnsi"/>
          <w:sz w:val="24"/>
          <w:szCs w:val="24"/>
          <w:lang w:val="en-US"/>
        </w:rPr>
        <w:t xml:space="preserve">the majority of ESG data (i.e. such as fatalities, biodiversity and communities) are non-divisible; and </w:t>
      </w:r>
    </w:p>
    <w:p w14:paraId="3E2A1859" w14:textId="77777777" w:rsidR="00337859" w:rsidRPr="006A3D56" w:rsidRDefault="00337859" w:rsidP="00337859">
      <w:pPr>
        <w:pStyle w:val="ListParagraph"/>
        <w:numPr>
          <w:ilvl w:val="0"/>
          <w:numId w:val="5"/>
        </w:numPr>
        <w:ind w:left="567" w:hanging="567"/>
        <w:jc w:val="both"/>
        <w:rPr>
          <w:rFonts w:asciiTheme="majorHAnsi" w:hAnsiTheme="majorHAnsi" w:cstheme="majorHAnsi"/>
          <w:sz w:val="24"/>
          <w:szCs w:val="24"/>
          <w:lang w:val="en-US"/>
        </w:rPr>
      </w:pPr>
      <w:r w:rsidRPr="006A3D56">
        <w:rPr>
          <w:rFonts w:asciiTheme="majorHAnsi" w:hAnsiTheme="majorHAnsi" w:cstheme="majorHAnsi"/>
          <w:sz w:val="24"/>
          <w:szCs w:val="24"/>
          <w:lang w:val="en-US"/>
        </w:rPr>
        <w:t>Each JO, if there isn’t operational control, can implement their own methodologies to calculate ESG data, from GHG, to Health and safety KPIs, to social, making it extremely difficult to consolidate each data of each JO if every JO has different rules for each KPIs</w:t>
      </w:r>
    </w:p>
    <w:p w14:paraId="6FF4E1E0" w14:textId="77777777" w:rsidR="00337859" w:rsidRPr="006A3D56" w:rsidRDefault="00337859" w:rsidP="00337859">
      <w:pPr>
        <w:jc w:val="both"/>
        <w:rPr>
          <w:rFonts w:asciiTheme="majorHAnsi" w:hAnsiTheme="majorHAnsi" w:cstheme="majorHAnsi"/>
          <w:color w:val="000000"/>
        </w:rPr>
      </w:pPr>
      <w:r w:rsidRPr="006A3D56">
        <w:rPr>
          <w:rFonts w:asciiTheme="majorHAnsi" w:hAnsiTheme="majorHAnsi" w:cstheme="majorHAnsi"/>
          <w:color w:val="000000"/>
        </w:rPr>
        <w:t>In light of this view the following modifications to the current IG would be needed:</w:t>
      </w:r>
    </w:p>
    <w:p w14:paraId="208A3C86" w14:textId="77777777" w:rsidR="00337859" w:rsidRPr="006A3D56" w:rsidRDefault="00337859" w:rsidP="00337859">
      <w:pPr>
        <w:pStyle w:val="ListParagraph"/>
        <w:ind w:left="340"/>
        <w:jc w:val="both"/>
        <w:rPr>
          <w:rFonts w:asciiTheme="majorHAnsi" w:hAnsiTheme="majorHAnsi" w:cstheme="majorHAnsi"/>
          <w:color w:val="000000"/>
          <w:sz w:val="24"/>
          <w:szCs w:val="24"/>
          <w:lang w:val="en-US"/>
        </w:rPr>
      </w:pPr>
    </w:p>
    <w:p w14:paraId="724094C1" w14:textId="77777777" w:rsidR="00337859" w:rsidRPr="006A3D56" w:rsidRDefault="00337859" w:rsidP="00337859">
      <w:pPr>
        <w:pStyle w:val="ListParagraph"/>
        <w:numPr>
          <w:ilvl w:val="0"/>
          <w:numId w:val="2"/>
        </w:numPr>
        <w:jc w:val="both"/>
        <w:rPr>
          <w:rFonts w:asciiTheme="majorHAnsi" w:hAnsiTheme="majorHAnsi" w:cstheme="majorHAnsi"/>
          <w:i/>
          <w:iCs/>
          <w:color w:val="000000"/>
          <w:sz w:val="24"/>
          <w:szCs w:val="24"/>
          <w:lang w:val="en-US"/>
        </w:rPr>
      </w:pPr>
      <w:r w:rsidRPr="006A3D56">
        <w:rPr>
          <w:rFonts w:asciiTheme="majorHAnsi" w:hAnsiTheme="majorHAnsi" w:cstheme="majorHAnsi"/>
          <w:color w:val="000000"/>
          <w:sz w:val="24"/>
          <w:szCs w:val="24"/>
          <w:lang w:val="en-US"/>
        </w:rPr>
        <w:lastRenderedPageBreak/>
        <w:t xml:space="preserve">Elimination in table at par. 52, with reference to Joint Operations sustainability statement treatment, the wording indicating that </w:t>
      </w:r>
      <w:r w:rsidRPr="006A3D56">
        <w:rPr>
          <w:rFonts w:asciiTheme="majorHAnsi" w:hAnsiTheme="majorHAnsi" w:cstheme="majorHAnsi"/>
          <w:i/>
          <w:iCs/>
          <w:color w:val="000000"/>
          <w:sz w:val="24"/>
          <w:szCs w:val="24"/>
          <w:lang w:val="en-US"/>
        </w:rPr>
        <w:t>“except for joint operations where the assets/liabilities belong to the reporting undertaking and so form part of own operations</w:t>
      </w:r>
      <w:r w:rsidRPr="006A3D56">
        <w:rPr>
          <w:rFonts w:asciiTheme="majorHAnsi" w:hAnsiTheme="majorHAnsi" w:cstheme="majorHAnsi"/>
          <w:color w:val="000000"/>
          <w:sz w:val="24"/>
          <w:szCs w:val="24"/>
          <w:lang w:val="en-US"/>
        </w:rPr>
        <w:t>.” And keep just “</w:t>
      </w:r>
      <w:r w:rsidRPr="006A3D56">
        <w:rPr>
          <w:rFonts w:asciiTheme="majorHAnsi" w:hAnsiTheme="majorHAnsi" w:cstheme="majorHAnsi"/>
          <w:i/>
          <w:iCs/>
          <w:color w:val="000000"/>
          <w:sz w:val="24"/>
          <w:szCs w:val="24"/>
          <w:lang w:val="en-US"/>
        </w:rPr>
        <w:t>Same as for associates”;</w:t>
      </w:r>
    </w:p>
    <w:p w14:paraId="3297932B" w14:textId="77777777" w:rsidR="00337859" w:rsidRPr="006A3D56" w:rsidRDefault="00337859" w:rsidP="00337859">
      <w:pPr>
        <w:pStyle w:val="ListParagraph"/>
        <w:ind w:left="340"/>
        <w:jc w:val="both"/>
        <w:rPr>
          <w:rFonts w:asciiTheme="majorHAnsi" w:hAnsiTheme="majorHAnsi" w:cstheme="majorHAnsi"/>
          <w:color w:val="000000"/>
          <w:sz w:val="24"/>
          <w:szCs w:val="24"/>
          <w:lang w:val="en-US"/>
        </w:rPr>
      </w:pPr>
    </w:p>
    <w:p w14:paraId="7BF5B78D" w14:textId="77777777" w:rsidR="00337859" w:rsidRPr="006A3D56" w:rsidRDefault="00337859" w:rsidP="00337859">
      <w:pPr>
        <w:pStyle w:val="ListParagraph"/>
        <w:numPr>
          <w:ilvl w:val="0"/>
          <w:numId w:val="2"/>
        </w:numPr>
        <w:jc w:val="both"/>
        <w:rPr>
          <w:rFonts w:asciiTheme="majorHAnsi" w:hAnsiTheme="majorHAnsi" w:cstheme="majorHAnsi"/>
          <w:color w:val="000000"/>
          <w:sz w:val="24"/>
          <w:szCs w:val="24"/>
          <w:lang w:val="en-US"/>
        </w:rPr>
      </w:pPr>
      <w:r w:rsidRPr="006A3D56">
        <w:rPr>
          <w:rFonts w:asciiTheme="majorHAnsi" w:hAnsiTheme="majorHAnsi" w:cstheme="majorHAnsi"/>
          <w:color w:val="000000"/>
          <w:sz w:val="24"/>
          <w:szCs w:val="24"/>
          <w:lang w:val="en-US"/>
        </w:rPr>
        <w:t xml:space="preserve">Elimination in the first box of the flow chart at par. 53 the following: </w:t>
      </w:r>
      <w:r w:rsidRPr="006A3D56">
        <w:rPr>
          <w:rFonts w:asciiTheme="majorHAnsi" w:hAnsiTheme="majorHAnsi" w:cstheme="majorHAnsi"/>
          <w:i/>
          <w:iCs/>
          <w:color w:val="000000"/>
          <w:sz w:val="24"/>
          <w:szCs w:val="24"/>
          <w:lang w:val="en-US"/>
        </w:rPr>
        <w:t>“including ….. own assets/ liabilities used in Joint Operations”</w:t>
      </w:r>
      <w:r w:rsidRPr="006A3D56">
        <w:rPr>
          <w:rFonts w:asciiTheme="majorHAnsi" w:hAnsiTheme="majorHAnsi" w:cstheme="majorHAnsi"/>
          <w:color w:val="000000"/>
          <w:sz w:val="24"/>
          <w:szCs w:val="24"/>
          <w:lang w:val="en-US"/>
        </w:rPr>
        <w:t xml:space="preserve">. </w:t>
      </w:r>
    </w:p>
    <w:p w14:paraId="1C8FA1BF" w14:textId="2D3B8397" w:rsidR="00337859" w:rsidRPr="006A3D56" w:rsidRDefault="00337859" w:rsidP="00E107EF">
      <w:pPr>
        <w:jc w:val="both"/>
        <w:rPr>
          <w:rFonts w:asciiTheme="majorHAnsi" w:hAnsiTheme="majorHAnsi" w:cstheme="majorHAnsi"/>
          <w:color w:val="000000"/>
        </w:rPr>
      </w:pPr>
      <w:r w:rsidRPr="006A3D56">
        <w:rPr>
          <w:rFonts w:asciiTheme="majorHAnsi" w:hAnsiTheme="majorHAnsi" w:cstheme="majorHAnsi"/>
          <w:color w:val="000000"/>
        </w:rPr>
        <w:t xml:space="preserve">In addition, in the table referred to in para. 52 at the Associate tab “measuring impacts by metrics in topical standard” we believe that the following wording should be eliminated: </w:t>
      </w:r>
      <w:r w:rsidRPr="006A3D56">
        <w:rPr>
          <w:rFonts w:asciiTheme="majorHAnsi" w:hAnsiTheme="majorHAnsi" w:cstheme="majorHAnsi"/>
          <w:i/>
          <w:iCs/>
          <w:color w:val="000000"/>
        </w:rPr>
        <w:t>“Operational control” or “GHG emissions to the extent of operational control. (ESRS 1 par. 67)”</w:t>
      </w:r>
      <w:r w:rsidRPr="006A3D56">
        <w:rPr>
          <w:rFonts w:asciiTheme="majorHAnsi" w:hAnsiTheme="majorHAnsi" w:cstheme="majorHAnsi"/>
          <w:color w:val="000000"/>
        </w:rPr>
        <w:t xml:space="preserve"> to make it consistent with par. from 40 to 47 where it is made clear that this concept is applied not only to GHG emissions but also to other Environmental metrics, therefore not limited to GHG emissions.</w:t>
      </w:r>
    </w:p>
    <w:p w14:paraId="6405FB1C" w14:textId="77777777" w:rsidR="00627C9A" w:rsidRDefault="00627C9A" w:rsidP="00E107EF">
      <w:pPr>
        <w:autoSpaceDE w:val="0"/>
        <w:autoSpaceDN w:val="0"/>
        <w:adjustRightInd w:val="0"/>
        <w:jc w:val="both"/>
        <w:rPr>
          <w:rFonts w:asciiTheme="majorHAnsi" w:hAnsiTheme="majorHAnsi" w:cstheme="majorHAnsi"/>
          <w:color w:val="000000"/>
        </w:rPr>
      </w:pPr>
    </w:p>
    <w:p w14:paraId="40F1DDFD" w14:textId="77777777" w:rsidR="00C108F7" w:rsidRPr="005751E2" w:rsidRDefault="00484BAD" w:rsidP="00E107EF">
      <w:pPr>
        <w:autoSpaceDE w:val="0"/>
        <w:autoSpaceDN w:val="0"/>
        <w:adjustRightInd w:val="0"/>
        <w:jc w:val="both"/>
        <w:rPr>
          <w:rFonts w:asciiTheme="majorHAnsi" w:hAnsiTheme="majorHAnsi" w:cstheme="majorHAnsi"/>
          <w:color w:val="000000"/>
        </w:rPr>
      </w:pPr>
      <w:r w:rsidRPr="00180DCA">
        <w:rPr>
          <w:rFonts w:asciiTheme="majorHAnsi" w:hAnsiTheme="majorHAnsi" w:cstheme="majorHAnsi"/>
          <w:color w:val="000000"/>
        </w:rPr>
        <w:t xml:space="preserve">The reporting on specific assets and liabilities used in Joint Operation is valid for GHG data, because for the remaining information there are some ESG data which are non-divisible such as </w:t>
      </w:r>
      <w:r w:rsidRPr="005751E2">
        <w:rPr>
          <w:rFonts w:asciiTheme="majorHAnsi" w:hAnsiTheme="majorHAnsi" w:cstheme="majorHAnsi"/>
          <w:color w:val="000000"/>
        </w:rPr>
        <w:t>fatalities, biodiversity and communities. Therefore</w:t>
      </w:r>
      <w:r w:rsidR="00E107EF" w:rsidRPr="005751E2">
        <w:rPr>
          <w:rFonts w:asciiTheme="majorHAnsi" w:hAnsiTheme="majorHAnsi" w:cstheme="majorHAnsi"/>
          <w:color w:val="000000"/>
        </w:rPr>
        <w:t>,</w:t>
      </w:r>
      <w:r w:rsidRPr="005751E2">
        <w:rPr>
          <w:rFonts w:asciiTheme="majorHAnsi" w:hAnsiTheme="majorHAnsi" w:cstheme="majorHAnsi"/>
          <w:color w:val="000000"/>
        </w:rPr>
        <w:t xml:space="preserve"> Joint Operations should </w:t>
      </w:r>
      <w:r w:rsidR="00B558C4" w:rsidRPr="005751E2">
        <w:rPr>
          <w:rFonts w:asciiTheme="majorHAnsi" w:hAnsiTheme="majorHAnsi" w:cstheme="majorHAnsi"/>
          <w:color w:val="000000"/>
        </w:rPr>
        <w:t>not be considered part of</w:t>
      </w:r>
      <w:r w:rsidRPr="005751E2">
        <w:rPr>
          <w:rFonts w:asciiTheme="majorHAnsi" w:hAnsiTheme="majorHAnsi" w:cstheme="majorHAnsi"/>
          <w:color w:val="000000"/>
        </w:rPr>
        <w:t xml:space="preserve"> the "Reporting Undertaking" </w:t>
      </w:r>
      <w:r w:rsidR="00E107EF" w:rsidRPr="005751E2">
        <w:rPr>
          <w:rFonts w:asciiTheme="majorHAnsi" w:hAnsiTheme="majorHAnsi" w:cstheme="majorHAnsi"/>
          <w:color w:val="000000"/>
        </w:rPr>
        <w:t xml:space="preserve">and only </w:t>
      </w:r>
      <w:r w:rsidRPr="005751E2">
        <w:rPr>
          <w:rFonts w:asciiTheme="majorHAnsi" w:hAnsiTheme="majorHAnsi" w:cstheme="majorHAnsi"/>
          <w:color w:val="000000"/>
        </w:rPr>
        <w:t>assessed for operational control.</w:t>
      </w:r>
      <w:r w:rsidR="00B558C4" w:rsidRPr="005751E2">
        <w:rPr>
          <w:rFonts w:asciiTheme="majorHAnsi" w:hAnsiTheme="majorHAnsi" w:cstheme="majorHAnsi"/>
          <w:color w:val="000000"/>
        </w:rPr>
        <w:t xml:space="preserve"> </w:t>
      </w:r>
    </w:p>
    <w:p w14:paraId="6E42ABE3" w14:textId="5DC6567E" w:rsidR="0005528B" w:rsidRPr="005751E2" w:rsidRDefault="008B5FBF" w:rsidP="00E107EF">
      <w:pPr>
        <w:autoSpaceDE w:val="0"/>
        <w:autoSpaceDN w:val="0"/>
        <w:adjustRightInd w:val="0"/>
        <w:jc w:val="both"/>
        <w:rPr>
          <w:rFonts w:asciiTheme="majorHAnsi" w:hAnsiTheme="majorHAnsi" w:cstheme="majorHAnsi"/>
          <w:color w:val="000000"/>
        </w:rPr>
      </w:pPr>
      <w:r w:rsidRPr="005751E2">
        <w:rPr>
          <w:rFonts w:asciiTheme="majorHAnsi" w:hAnsiTheme="majorHAnsi" w:cstheme="majorHAnsi"/>
          <w:color w:val="000000"/>
        </w:rPr>
        <w:t>As indicated above t</w:t>
      </w:r>
      <w:r w:rsidR="00B558C4" w:rsidRPr="005751E2">
        <w:rPr>
          <w:rFonts w:asciiTheme="majorHAnsi" w:hAnsiTheme="majorHAnsi" w:cstheme="majorHAnsi"/>
          <w:color w:val="000000"/>
        </w:rPr>
        <w:t>he assessment of operational control should be conducted</w:t>
      </w:r>
      <w:r w:rsidR="00C108F7" w:rsidRPr="005751E2">
        <w:rPr>
          <w:rFonts w:asciiTheme="majorHAnsi" w:hAnsiTheme="majorHAnsi" w:cstheme="majorHAnsi"/>
          <w:color w:val="000000"/>
        </w:rPr>
        <w:t xml:space="preserve"> for every Joint Operation</w:t>
      </w:r>
      <w:r w:rsidR="008B67AF" w:rsidRPr="005751E2">
        <w:rPr>
          <w:rFonts w:asciiTheme="majorHAnsi" w:hAnsiTheme="majorHAnsi" w:cstheme="majorHAnsi"/>
          <w:color w:val="000000"/>
        </w:rPr>
        <w:t>,</w:t>
      </w:r>
      <w:r w:rsidR="00B558C4" w:rsidRPr="005751E2">
        <w:rPr>
          <w:rFonts w:asciiTheme="majorHAnsi" w:hAnsiTheme="majorHAnsi" w:cstheme="majorHAnsi"/>
          <w:color w:val="000000"/>
        </w:rPr>
        <w:t xml:space="preserve"> both incorporated and un-incorporated.</w:t>
      </w:r>
      <w:r w:rsidR="008B67AF" w:rsidRPr="005751E2">
        <w:rPr>
          <w:rFonts w:asciiTheme="majorHAnsi" w:hAnsiTheme="majorHAnsi" w:cstheme="majorHAnsi"/>
          <w:color w:val="000000"/>
        </w:rPr>
        <w:t xml:space="preserve"> So even for a JO which is not structured through an entity </w:t>
      </w:r>
      <w:r w:rsidR="00044A03" w:rsidRPr="005751E2">
        <w:rPr>
          <w:rFonts w:asciiTheme="majorHAnsi" w:hAnsiTheme="majorHAnsi" w:cstheme="majorHAnsi"/>
          <w:color w:val="000000"/>
        </w:rPr>
        <w:t xml:space="preserve">the undertaking will need to assess its operational control, if it is the operator it should account for the </w:t>
      </w:r>
      <w:r w:rsidR="00E73223" w:rsidRPr="005751E2">
        <w:rPr>
          <w:rFonts w:asciiTheme="majorHAnsi" w:hAnsiTheme="majorHAnsi" w:cstheme="majorHAnsi"/>
          <w:color w:val="000000"/>
        </w:rPr>
        <w:t xml:space="preserve">related information </w:t>
      </w:r>
      <w:r w:rsidR="00044A03" w:rsidRPr="005751E2">
        <w:rPr>
          <w:rFonts w:asciiTheme="majorHAnsi" w:hAnsiTheme="majorHAnsi" w:cstheme="majorHAnsi"/>
          <w:color w:val="000000"/>
        </w:rPr>
        <w:t xml:space="preserve">otherwise </w:t>
      </w:r>
      <w:r w:rsidR="00E73223" w:rsidRPr="005751E2">
        <w:rPr>
          <w:rFonts w:asciiTheme="majorHAnsi" w:hAnsiTheme="majorHAnsi" w:cstheme="majorHAnsi"/>
          <w:color w:val="000000"/>
        </w:rPr>
        <w:t>it will not report data on that specific JO</w:t>
      </w:r>
      <w:r w:rsidR="00B558C4" w:rsidRPr="005751E2">
        <w:rPr>
          <w:rFonts w:asciiTheme="majorHAnsi" w:hAnsiTheme="majorHAnsi" w:cstheme="majorHAnsi"/>
          <w:color w:val="000000"/>
        </w:rPr>
        <w:t xml:space="preserve"> </w:t>
      </w:r>
      <w:r w:rsidR="00E73223" w:rsidRPr="005751E2">
        <w:rPr>
          <w:rFonts w:asciiTheme="majorHAnsi" w:hAnsiTheme="majorHAnsi" w:cstheme="majorHAnsi"/>
          <w:color w:val="000000"/>
        </w:rPr>
        <w:t>with the exception of Scope 3 emissions if it is part of its value chain.</w:t>
      </w:r>
      <w:r w:rsidR="00484BAD" w:rsidRPr="005751E2">
        <w:rPr>
          <w:rFonts w:asciiTheme="majorHAnsi" w:hAnsiTheme="majorHAnsi" w:cstheme="majorHAnsi"/>
          <w:color w:val="000000"/>
        </w:rPr>
        <w:t xml:space="preserve"> </w:t>
      </w:r>
    </w:p>
    <w:p w14:paraId="22354A71" w14:textId="77777777" w:rsidR="00484BAD" w:rsidRPr="00180DCA" w:rsidRDefault="00484BAD" w:rsidP="00484BAD">
      <w:pPr>
        <w:autoSpaceDE w:val="0"/>
        <w:autoSpaceDN w:val="0"/>
        <w:adjustRightInd w:val="0"/>
        <w:rPr>
          <w:rFonts w:asciiTheme="majorHAnsi" w:hAnsiTheme="majorHAnsi" w:cstheme="majorHAnsi"/>
          <w:color w:val="000000"/>
        </w:rPr>
      </w:pPr>
    </w:p>
    <w:p w14:paraId="717593F6" w14:textId="07A68AB9" w:rsidR="00484BAD" w:rsidRPr="00180DCA" w:rsidRDefault="008E03D0" w:rsidP="00802B93">
      <w:pPr>
        <w:autoSpaceDE w:val="0"/>
        <w:autoSpaceDN w:val="0"/>
        <w:adjustRightInd w:val="0"/>
        <w:jc w:val="both"/>
        <w:rPr>
          <w:rFonts w:asciiTheme="majorHAnsi" w:hAnsiTheme="majorHAnsi" w:cstheme="majorHAnsi"/>
          <w:color w:val="000000"/>
        </w:rPr>
      </w:pPr>
      <w:r>
        <w:rPr>
          <w:rFonts w:asciiTheme="majorHAnsi" w:hAnsiTheme="majorHAnsi" w:cstheme="majorHAnsi"/>
          <w:color w:val="000000"/>
        </w:rPr>
        <w:t>M</w:t>
      </w:r>
      <w:r w:rsidR="00484BAD" w:rsidRPr="00180DCA">
        <w:rPr>
          <w:rFonts w:asciiTheme="majorHAnsi" w:hAnsiTheme="majorHAnsi" w:cstheme="majorHAnsi"/>
          <w:color w:val="000000"/>
        </w:rPr>
        <w:t xml:space="preserve">ore guidance on how to include the data relate to this type of assets in the sustainability statement perimeter should be provided. </w:t>
      </w:r>
    </w:p>
    <w:p w14:paraId="7B820CDF" w14:textId="553CEC86" w:rsidR="00484BAD" w:rsidRPr="00180DCA" w:rsidRDefault="00484BAD" w:rsidP="00802B93">
      <w:pPr>
        <w:jc w:val="both"/>
        <w:rPr>
          <w:rFonts w:asciiTheme="majorHAnsi" w:hAnsiTheme="majorHAnsi" w:cstheme="majorHAnsi"/>
          <w:color w:val="000000"/>
        </w:rPr>
      </w:pPr>
      <w:r w:rsidRPr="00180DCA">
        <w:rPr>
          <w:rFonts w:asciiTheme="majorHAnsi" w:hAnsiTheme="majorHAnsi" w:cstheme="majorHAnsi"/>
          <w:color w:val="000000"/>
        </w:rPr>
        <w:t>Some specific examples would be very useful to better understand how to report data from non</w:t>
      </w:r>
      <w:r w:rsidR="008E03D0">
        <w:rPr>
          <w:rFonts w:asciiTheme="majorHAnsi" w:hAnsiTheme="majorHAnsi" w:cstheme="majorHAnsi"/>
          <w:color w:val="000000"/>
        </w:rPr>
        <w:t xml:space="preserve">- </w:t>
      </w:r>
      <w:r w:rsidRPr="00180DCA">
        <w:rPr>
          <w:rFonts w:asciiTheme="majorHAnsi" w:hAnsiTheme="majorHAnsi" w:cstheme="majorHAnsi"/>
          <w:color w:val="000000"/>
        </w:rPr>
        <w:t>operated companies in the value chain.</w:t>
      </w:r>
    </w:p>
    <w:p w14:paraId="4734B23C" w14:textId="481E3DCA" w:rsidR="00484BAD" w:rsidRPr="00180DCA" w:rsidRDefault="00484BAD" w:rsidP="00802B93">
      <w:pPr>
        <w:jc w:val="both"/>
        <w:rPr>
          <w:rFonts w:asciiTheme="majorHAnsi" w:hAnsiTheme="majorHAnsi" w:cstheme="majorHAnsi"/>
          <w:color w:val="000000"/>
        </w:rPr>
      </w:pPr>
      <w:r w:rsidRPr="00180DCA">
        <w:rPr>
          <w:rFonts w:asciiTheme="majorHAnsi" w:hAnsiTheme="majorHAnsi" w:cstheme="majorHAnsi"/>
          <w:color w:val="000000"/>
        </w:rPr>
        <w:t xml:space="preserve">We present </w:t>
      </w:r>
      <w:r w:rsidR="008E03D0">
        <w:rPr>
          <w:rFonts w:asciiTheme="majorHAnsi" w:hAnsiTheme="majorHAnsi" w:cstheme="majorHAnsi"/>
          <w:color w:val="000000"/>
        </w:rPr>
        <w:t>a possible useful example</w:t>
      </w:r>
      <w:r w:rsidRPr="00180DCA">
        <w:rPr>
          <w:rFonts w:asciiTheme="majorHAnsi" w:hAnsiTheme="majorHAnsi" w:cstheme="majorHAnsi"/>
          <w:color w:val="000000"/>
        </w:rPr>
        <w:t xml:space="preserve"> below:</w:t>
      </w:r>
    </w:p>
    <w:p w14:paraId="4BA67EF0" w14:textId="77777777" w:rsidR="00484BAD" w:rsidRPr="00180DCA" w:rsidRDefault="00484BAD" w:rsidP="00484BAD">
      <w:pPr>
        <w:jc w:val="both"/>
        <w:rPr>
          <w:rFonts w:asciiTheme="majorHAnsi" w:hAnsiTheme="majorHAnsi" w:cstheme="majorHAnsi"/>
          <w:color w:val="000000"/>
        </w:rPr>
      </w:pPr>
    </w:p>
    <w:p w14:paraId="76ADAA06" w14:textId="0503737A" w:rsidR="005751E2" w:rsidRPr="00EB4621" w:rsidRDefault="00484BAD" w:rsidP="00802B93">
      <w:pPr>
        <w:jc w:val="both"/>
        <w:rPr>
          <w:rFonts w:asciiTheme="majorHAnsi" w:hAnsiTheme="majorHAnsi" w:cstheme="majorHAnsi"/>
          <w:color w:val="000000"/>
        </w:rPr>
      </w:pPr>
      <w:r w:rsidRPr="00180DCA">
        <w:rPr>
          <w:rFonts w:asciiTheme="majorHAnsi" w:hAnsiTheme="majorHAnsi" w:cstheme="majorHAnsi"/>
          <w:color w:val="000000"/>
        </w:rPr>
        <w:t>Example 1. In a Joint Operation not structured through an entity there are two partners A and B of which A is the operator with a 60% share. The JO is part of B value chain and it has a share of 40%. In this case B will report the emissions of the JO in its scope 3 emissions according to its 40% share, taking into consideration emissions scope 1, 2 and 3 of the JO.</w:t>
      </w:r>
    </w:p>
    <w:p w14:paraId="364E95A2" w14:textId="77777777" w:rsidR="005751E2" w:rsidRDefault="005751E2" w:rsidP="00802B93">
      <w:pPr>
        <w:jc w:val="both"/>
        <w:rPr>
          <w:rFonts w:asciiTheme="majorHAnsi" w:hAnsiTheme="majorHAnsi" w:cstheme="majorHAnsi"/>
          <w:b/>
          <w:bCs/>
          <w:color w:val="000000"/>
        </w:rPr>
      </w:pPr>
    </w:p>
    <w:p w14:paraId="5EE54F4C" w14:textId="1422ED69" w:rsidR="00F81776" w:rsidRPr="00F81776" w:rsidRDefault="00F81776" w:rsidP="00F81776">
      <w:pPr>
        <w:jc w:val="both"/>
        <w:rPr>
          <w:rFonts w:asciiTheme="majorHAnsi" w:hAnsiTheme="majorHAnsi" w:cstheme="majorHAnsi"/>
          <w:b/>
          <w:bCs/>
          <w:color w:val="000000"/>
        </w:rPr>
      </w:pPr>
      <w:r w:rsidRPr="00F81776">
        <w:rPr>
          <w:rFonts w:asciiTheme="majorHAnsi" w:hAnsiTheme="majorHAnsi" w:cstheme="majorHAnsi"/>
          <w:b/>
          <w:bCs/>
          <w:color w:val="000000"/>
        </w:rPr>
        <w:t>Operational Control</w:t>
      </w:r>
    </w:p>
    <w:p w14:paraId="2B67C64E" w14:textId="77777777" w:rsidR="00092792" w:rsidRPr="00E14EF8" w:rsidRDefault="00092792" w:rsidP="00092792">
      <w:pPr>
        <w:jc w:val="both"/>
        <w:rPr>
          <w:rFonts w:asciiTheme="majorHAnsi" w:hAnsiTheme="majorHAnsi" w:cstheme="majorHAnsi"/>
          <w:color w:val="000000"/>
        </w:rPr>
      </w:pPr>
      <w:r w:rsidRPr="00C4482E">
        <w:rPr>
          <w:rFonts w:asciiTheme="majorHAnsi" w:hAnsiTheme="majorHAnsi" w:cstheme="majorHAnsi"/>
          <w:color w:val="000000"/>
        </w:rPr>
        <w:t xml:space="preserve">Even though steps forward have been done in the implementation guidance </w:t>
      </w:r>
      <w:r w:rsidRPr="00E14EF8">
        <w:rPr>
          <w:rFonts w:asciiTheme="majorHAnsi" w:hAnsiTheme="majorHAnsi" w:cstheme="majorHAnsi"/>
          <w:color w:val="000000"/>
        </w:rPr>
        <w:t xml:space="preserve">VC </w:t>
      </w:r>
      <w:r w:rsidRPr="00C4482E">
        <w:rPr>
          <w:rFonts w:asciiTheme="majorHAnsi" w:hAnsiTheme="majorHAnsi" w:cstheme="majorHAnsi"/>
          <w:color w:val="000000"/>
        </w:rPr>
        <w:t xml:space="preserve">towards the definition of operational control, it still is not </w:t>
      </w:r>
      <w:r>
        <w:rPr>
          <w:rFonts w:asciiTheme="majorHAnsi" w:hAnsiTheme="majorHAnsi" w:cstheme="majorHAnsi"/>
          <w:color w:val="000000"/>
        </w:rPr>
        <w:t>enough</w:t>
      </w:r>
      <w:r w:rsidRPr="00C4482E">
        <w:rPr>
          <w:rFonts w:asciiTheme="majorHAnsi" w:hAnsiTheme="majorHAnsi" w:cstheme="majorHAnsi"/>
          <w:color w:val="000000"/>
        </w:rPr>
        <w:t xml:space="preserve"> for undertakings to understand how to assess operational control over a non-controlled entity. It should be clearly stated and stressed that in order to correctly assess the existence of operational control the undertaking should have the effective capacity to make decisions and guide the company’s strategic choices. Without this capacity, it is "unfair" to consider the undertaking the operator of a company. As an example, it would be not possible to consider the undertaking operator in a company where it is unable to </w:t>
      </w:r>
      <w:r w:rsidRPr="00C4482E">
        <w:rPr>
          <w:rFonts w:asciiTheme="majorHAnsi" w:hAnsiTheme="majorHAnsi" w:cstheme="majorHAnsi"/>
          <w:color w:val="000000"/>
        </w:rPr>
        <w:lastRenderedPageBreak/>
        <w:t xml:space="preserve">act and steer the decision-making process towards the implementation of projects for the reduction of GHG emissions. </w:t>
      </w:r>
    </w:p>
    <w:p w14:paraId="472F5F00" w14:textId="77777777" w:rsidR="00092792" w:rsidRPr="00E14EF8" w:rsidRDefault="00092792" w:rsidP="00092792">
      <w:pPr>
        <w:jc w:val="both"/>
        <w:rPr>
          <w:rFonts w:asciiTheme="majorHAnsi" w:hAnsiTheme="majorHAnsi" w:cstheme="majorHAnsi"/>
          <w:color w:val="000000"/>
        </w:rPr>
      </w:pPr>
      <w:r w:rsidRPr="00C4482E">
        <w:rPr>
          <w:rFonts w:asciiTheme="majorHAnsi" w:hAnsiTheme="majorHAnsi" w:cstheme="majorHAnsi"/>
          <w:color w:val="000000"/>
        </w:rPr>
        <w:t xml:space="preserve">Therefore, the </w:t>
      </w:r>
      <w:r>
        <w:rPr>
          <w:rFonts w:asciiTheme="majorHAnsi" w:hAnsiTheme="majorHAnsi" w:cstheme="majorHAnsi"/>
          <w:color w:val="000000"/>
        </w:rPr>
        <w:t>levers</w:t>
      </w:r>
      <w:r w:rsidRPr="00C4482E">
        <w:rPr>
          <w:rFonts w:asciiTheme="majorHAnsi" w:hAnsiTheme="majorHAnsi" w:cstheme="majorHAnsi"/>
          <w:color w:val="000000"/>
        </w:rPr>
        <w:t xml:space="preserve"> to assess operational control must </w:t>
      </w:r>
      <w:r w:rsidRPr="00E14EF8">
        <w:rPr>
          <w:rFonts w:asciiTheme="majorHAnsi" w:hAnsiTheme="majorHAnsi" w:cstheme="majorHAnsi"/>
          <w:color w:val="000000"/>
        </w:rPr>
        <w:t>b</w:t>
      </w:r>
      <w:r w:rsidRPr="00C4482E">
        <w:rPr>
          <w:rFonts w:asciiTheme="majorHAnsi" w:hAnsiTheme="majorHAnsi" w:cstheme="majorHAnsi"/>
          <w:color w:val="000000"/>
        </w:rPr>
        <w:t xml:space="preserve">e </w:t>
      </w:r>
      <w:r w:rsidRPr="00E14EF8">
        <w:rPr>
          <w:rFonts w:asciiTheme="majorHAnsi" w:hAnsiTheme="majorHAnsi" w:cstheme="majorHAnsi"/>
          <w:color w:val="000000"/>
        </w:rPr>
        <w:t>at le</w:t>
      </w:r>
      <w:r w:rsidRPr="00C4482E">
        <w:rPr>
          <w:rFonts w:asciiTheme="majorHAnsi" w:hAnsiTheme="majorHAnsi" w:cstheme="majorHAnsi"/>
          <w:color w:val="000000"/>
        </w:rPr>
        <w:t>as</w:t>
      </w:r>
      <w:r w:rsidRPr="00E14EF8">
        <w:rPr>
          <w:rFonts w:asciiTheme="majorHAnsi" w:hAnsiTheme="majorHAnsi" w:cstheme="majorHAnsi"/>
          <w:color w:val="000000"/>
        </w:rPr>
        <w:t xml:space="preserve">t the </w:t>
      </w:r>
      <w:r w:rsidRPr="00C4482E">
        <w:rPr>
          <w:rFonts w:asciiTheme="majorHAnsi" w:hAnsiTheme="majorHAnsi" w:cstheme="majorHAnsi"/>
          <w:color w:val="000000"/>
        </w:rPr>
        <w:t>following</w:t>
      </w:r>
      <w:r>
        <w:rPr>
          <w:rFonts w:asciiTheme="majorHAnsi" w:hAnsiTheme="majorHAnsi" w:cstheme="majorHAnsi"/>
          <w:color w:val="000000"/>
        </w:rPr>
        <w:t xml:space="preserve"> three</w:t>
      </w:r>
      <w:r w:rsidRPr="00C4482E">
        <w:rPr>
          <w:rFonts w:asciiTheme="majorHAnsi" w:hAnsiTheme="majorHAnsi" w:cstheme="majorHAnsi"/>
          <w:color w:val="000000"/>
        </w:rPr>
        <w:t xml:space="preserve">: </w:t>
      </w:r>
    </w:p>
    <w:p w14:paraId="7F5C5378" w14:textId="77777777" w:rsidR="00092792" w:rsidRPr="00C4482E" w:rsidRDefault="00092792" w:rsidP="00092792">
      <w:pPr>
        <w:pStyle w:val="ListParagraph"/>
        <w:numPr>
          <w:ilvl w:val="0"/>
          <w:numId w:val="10"/>
        </w:numPr>
        <w:jc w:val="both"/>
        <w:rPr>
          <w:rFonts w:asciiTheme="majorHAnsi" w:hAnsiTheme="majorHAnsi" w:cstheme="majorHAnsi"/>
          <w:color w:val="000000"/>
          <w:sz w:val="24"/>
          <w:szCs w:val="24"/>
          <w:lang w:val="en-US"/>
        </w:rPr>
      </w:pPr>
      <w:r w:rsidRPr="00C4482E">
        <w:rPr>
          <w:rFonts w:asciiTheme="majorHAnsi" w:hAnsiTheme="majorHAnsi" w:cstheme="majorHAnsi"/>
          <w:color w:val="000000"/>
          <w:sz w:val="24"/>
          <w:szCs w:val="24"/>
          <w:lang w:val="en-US"/>
        </w:rPr>
        <w:t xml:space="preserve">The full authority to implement its operating policies. </w:t>
      </w:r>
    </w:p>
    <w:p w14:paraId="13FB25F2" w14:textId="77777777" w:rsidR="00092792" w:rsidRPr="00C4482E" w:rsidRDefault="00092792" w:rsidP="00092792">
      <w:pPr>
        <w:pStyle w:val="ListParagraph"/>
        <w:numPr>
          <w:ilvl w:val="0"/>
          <w:numId w:val="10"/>
        </w:numPr>
        <w:jc w:val="both"/>
        <w:rPr>
          <w:rFonts w:asciiTheme="majorHAnsi" w:hAnsiTheme="majorHAnsi" w:cstheme="majorHAnsi"/>
          <w:color w:val="000000"/>
          <w:sz w:val="24"/>
          <w:szCs w:val="24"/>
          <w:lang w:val="en-US"/>
        </w:rPr>
      </w:pPr>
      <w:r w:rsidRPr="00C4482E">
        <w:rPr>
          <w:rFonts w:asciiTheme="majorHAnsi" w:hAnsiTheme="majorHAnsi" w:cstheme="majorHAnsi"/>
          <w:color w:val="000000"/>
          <w:sz w:val="24"/>
          <w:szCs w:val="24"/>
          <w:lang w:val="en-US"/>
        </w:rPr>
        <w:t xml:space="preserve">To be legally recognized by third parties as the operator of the facility, and </w:t>
      </w:r>
    </w:p>
    <w:p w14:paraId="24EB786D" w14:textId="77777777" w:rsidR="00092792" w:rsidRPr="00C4482E" w:rsidRDefault="00092792" w:rsidP="00092792">
      <w:pPr>
        <w:pStyle w:val="ListParagraph"/>
        <w:numPr>
          <w:ilvl w:val="0"/>
          <w:numId w:val="10"/>
        </w:numPr>
        <w:jc w:val="both"/>
        <w:rPr>
          <w:rFonts w:asciiTheme="majorHAnsi" w:hAnsiTheme="majorHAnsi" w:cstheme="majorHAnsi"/>
          <w:color w:val="000000"/>
          <w:lang w:val="en-US"/>
        </w:rPr>
      </w:pPr>
      <w:r w:rsidRPr="00C4482E">
        <w:rPr>
          <w:rFonts w:asciiTheme="majorHAnsi" w:hAnsiTheme="majorHAnsi" w:cstheme="majorHAnsi"/>
          <w:color w:val="000000"/>
          <w:sz w:val="24"/>
          <w:szCs w:val="24"/>
          <w:lang w:val="en-US"/>
        </w:rPr>
        <w:t>The ability to direct the entity</w:t>
      </w:r>
      <w:r>
        <w:rPr>
          <w:rFonts w:asciiTheme="majorHAnsi" w:hAnsiTheme="majorHAnsi" w:cstheme="majorHAnsi"/>
          <w:color w:val="000000"/>
          <w:sz w:val="24"/>
          <w:szCs w:val="24"/>
          <w:lang w:val="en-US"/>
        </w:rPr>
        <w:t xml:space="preserve">’s </w:t>
      </w:r>
      <w:r w:rsidRPr="00C4482E">
        <w:rPr>
          <w:rFonts w:asciiTheme="majorHAnsi" w:hAnsiTheme="majorHAnsi" w:cstheme="majorHAnsi"/>
          <w:color w:val="000000"/>
          <w:sz w:val="24"/>
          <w:szCs w:val="24"/>
          <w:lang w:val="en-US"/>
        </w:rPr>
        <w:t>investment</w:t>
      </w:r>
      <w:r>
        <w:rPr>
          <w:rFonts w:asciiTheme="majorHAnsi" w:hAnsiTheme="majorHAnsi" w:cstheme="majorHAnsi"/>
          <w:color w:val="000000"/>
          <w:sz w:val="24"/>
          <w:szCs w:val="24"/>
          <w:lang w:val="en-US"/>
        </w:rPr>
        <w:t xml:space="preserve"> strategy</w:t>
      </w:r>
      <w:r w:rsidRPr="00C4482E">
        <w:rPr>
          <w:rFonts w:asciiTheme="majorHAnsi" w:hAnsiTheme="majorHAnsi" w:cstheme="majorHAnsi"/>
          <w:color w:val="000000"/>
          <w:sz w:val="24"/>
          <w:szCs w:val="24"/>
          <w:lang w:val="en-US"/>
        </w:rPr>
        <w:t>.</w:t>
      </w:r>
    </w:p>
    <w:p w14:paraId="7877BA52" w14:textId="77777777" w:rsidR="00092792" w:rsidRPr="00C4482E" w:rsidRDefault="00092792" w:rsidP="00092792">
      <w:pPr>
        <w:jc w:val="both"/>
        <w:rPr>
          <w:rFonts w:asciiTheme="majorHAnsi" w:hAnsiTheme="majorHAnsi" w:cstheme="majorHAnsi"/>
          <w:color w:val="000000"/>
        </w:rPr>
      </w:pPr>
      <w:r w:rsidRPr="00C4482E">
        <w:rPr>
          <w:rFonts w:asciiTheme="majorHAnsi" w:hAnsiTheme="majorHAnsi" w:cstheme="majorHAnsi"/>
          <w:color w:val="000000"/>
        </w:rPr>
        <w:t>Furthermore, there is still lot of confusion among preparers on the meaning of operational control</w:t>
      </w:r>
      <w:r>
        <w:rPr>
          <w:rFonts w:asciiTheme="majorHAnsi" w:hAnsiTheme="majorHAnsi" w:cstheme="majorHAnsi"/>
          <w:color w:val="000000"/>
        </w:rPr>
        <w:t xml:space="preserve"> </w:t>
      </w:r>
      <w:r w:rsidRPr="00C4482E">
        <w:rPr>
          <w:rFonts w:asciiTheme="majorHAnsi" w:hAnsiTheme="majorHAnsi" w:cstheme="majorHAnsi"/>
          <w:color w:val="000000"/>
        </w:rPr>
        <w:t>and this would make impossible to ensure comparability in the sustainability statement</w:t>
      </w:r>
      <w:r>
        <w:rPr>
          <w:rFonts w:asciiTheme="majorHAnsi" w:hAnsiTheme="majorHAnsi" w:cstheme="majorHAnsi"/>
          <w:color w:val="000000"/>
        </w:rPr>
        <w:t>.</w:t>
      </w:r>
    </w:p>
    <w:p w14:paraId="2433DBFE" w14:textId="77777777" w:rsidR="00092792" w:rsidRPr="00C4482E" w:rsidRDefault="00092792" w:rsidP="00092792">
      <w:pPr>
        <w:jc w:val="both"/>
        <w:rPr>
          <w:rFonts w:asciiTheme="majorHAnsi" w:hAnsiTheme="majorHAnsi" w:cstheme="majorHAnsi"/>
          <w:color w:val="000000"/>
        </w:rPr>
      </w:pPr>
      <w:r w:rsidRPr="00C4482E">
        <w:rPr>
          <w:rFonts w:asciiTheme="majorHAnsi" w:hAnsiTheme="majorHAnsi" w:cstheme="majorHAnsi"/>
          <w:color w:val="000000"/>
        </w:rPr>
        <w:t>For this purpose, the only way is (and we warmly ask EFRAG) to provide preparers with a checklist to go through the operational control assessment for each non-controlled entity (e.g IFRS 10/11 checklist</w:t>
      </w:r>
      <w:r w:rsidRPr="00E14EF8">
        <w:rPr>
          <w:rFonts w:asciiTheme="majorHAnsi" w:hAnsiTheme="majorHAnsi" w:cstheme="majorHAnsi"/>
          <w:color w:val="000000"/>
        </w:rPr>
        <w:t>s</w:t>
      </w:r>
      <w:r w:rsidRPr="00C4482E">
        <w:rPr>
          <w:rFonts w:asciiTheme="majorHAnsi" w:hAnsiTheme="majorHAnsi" w:cstheme="majorHAnsi"/>
          <w:color w:val="000000"/>
        </w:rPr>
        <w:t>).</w:t>
      </w:r>
    </w:p>
    <w:p w14:paraId="6E9FB3E4" w14:textId="77777777" w:rsidR="00F81776" w:rsidRDefault="00F81776" w:rsidP="00802B93">
      <w:pPr>
        <w:jc w:val="both"/>
        <w:rPr>
          <w:rFonts w:asciiTheme="majorHAnsi" w:hAnsiTheme="majorHAnsi" w:cstheme="majorHAnsi"/>
          <w:b/>
          <w:bCs/>
          <w:color w:val="000000"/>
        </w:rPr>
      </w:pPr>
    </w:p>
    <w:p w14:paraId="31FE8211" w14:textId="1D204494" w:rsidR="00802B93" w:rsidRPr="00802B93" w:rsidRDefault="00802B93" w:rsidP="00802B93">
      <w:pPr>
        <w:jc w:val="both"/>
        <w:rPr>
          <w:rFonts w:asciiTheme="majorHAnsi" w:hAnsiTheme="majorHAnsi" w:cstheme="majorHAnsi"/>
          <w:b/>
          <w:bCs/>
          <w:color w:val="000000"/>
        </w:rPr>
      </w:pPr>
      <w:r>
        <w:rPr>
          <w:rFonts w:asciiTheme="majorHAnsi" w:hAnsiTheme="majorHAnsi" w:cstheme="majorHAnsi"/>
          <w:b/>
          <w:bCs/>
          <w:color w:val="000000"/>
        </w:rPr>
        <w:t>Scope 3 emissions</w:t>
      </w:r>
    </w:p>
    <w:p w14:paraId="0D3B1046" w14:textId="50231937" w:rsidR="00802B93" w:rsidRPr="00180DCA" w:rsidRDefault="00802B93" w:rsidP="00802B93">
      <w:pPr>
        <w:autoSpaceDE w:val="0"/>
        <w:autoSpaceDN w:val="0"/>
        <w:adjustRightInd w:val="0"/>
        <w:jc w:val="both"/>
        <w:rPr>
          <w:rFonts w:asciiTheme="majorHAnsi" w:hAnsiTheme="majorHAnsi" w:cstheme="majorHAnsi"/>
          <w:color w:val="000000"/>
        </w:rPr>
      </w:pPr>
      <w:r>
        <w:rPr>
          <w:rFonts w:asciiTheme="majorHAnsi" w:hAnsiTheme="majorHAnsi" w:cstheme="majorHAnsi"/>
          <w:color w:val="000000"/>
        </w:rPr>
        <w:t>T</w:t>
      </w:r>
      <w:r w:rsidRPr="00180DCA">
        <w:rPr>
          <w:rFonts w:asciiTheme="majorHAnsi" w:hAnsiTheme="majorHAnsi" w:cstheme="majorHAnsi"/>
          <w:color w:val="000000"/>
        </w:rPr>
        <w:t>here is a need to make more explicit the calculation methodologies of Scope 3 emissions and the recap of the emissions that must be included within scope 3</w:t>
      </w:r>
      <w:r w:rsidR="00056C95">
        <w:rPr>
          <w:rFonts w:asciiTheme="majorHAnsi" w:hAnsiTheme="majorHAnsi" w:cstheme="majorHAnsi"/>
          <w:color w:val="000000"/>
        </w:rPr>
        <w:t>; moreover</w:t>
      </w:r>
      <w:r w:rsidR="00560576">
        <w:rPr>
          <w:rFonts w:asciiTheme="majorHAnsi" w:hAnsiTheme="majorHAnsi" w:cstheme="majorHAnsi"/>
          <w:color w:val="000000"/>
        </w:rPr>
        <w:t>,</w:t>
      </w:r>
      <w:r w:rsidR="00056C95">
        <w:rPr>
          <w:rFonts w:asciiTheme="majorHAnsi" w:hAnsiTheme="majorHAnsi" w:cstheme="majorHAnsi"/>
          <w:color w:val="000000"/>
        </w:rPr>
        <w:t xml:space="preserve"> it should be clarif</w:t>
      </w:r>
      <w:r w:rsidR="005751E2">
        <w:rPr>
          <w:rFonts w:asciiTheme="majorHAnsi" w:hAnsiTheme="majorHAnsi" w:cstheme="majorHAnsi"/>
          <w:color w:val="000000"/>
        </w:rPr>
        <w:t>ied</w:t>
      </w:r>
      <w:r w:rsidR="00056C95">
        <w:rPr>
          <w:rFonts w:asciiTheme="majorHAnsi" w:hAnsiTheme="majorHAnsi" w:cstheme="majorHAnsi"/>
          <w:color w:val="000000"/>
        </w:rPr>
        <w:t xml:space="preserve"> that the information o</w:t>
      </w:r>
      <w:r w:rsidR="005751E2">
        <w:rPr>
          <w:rFonts w:asciiTheme="majorHAnsi" w:hAnsiTheme="majorHAnsi" w:cstheme="majorHAnsi"/>
          <w:color w:val="000000"/>
        </w:rPr>
        <w:t>n</w:t>
      </w:r>
      <w:r w:rsidR="00056C95">
        <w:rPr>
          <w:rFonts w:asciiTheme="majorHAnsi" w:hAnsiTheme="majorHAnsi" w:cstheme="majorHAnsi"/>
          <w:color w:val="000000"/>
        </w:rPr>
        <w:t xml:space="preserve"> JV/JO (incorporate</w:t>
      </w:r>
      <w:r w:rsidR="005751E2">
        <w:rPr>
          <w:rFonts w:asciiTheme="majorHAnsi" w:hAnsiTheme="majorHAnsi" w:cstheme="majorHAnsi"/>
          <w:color w:val="000000"/>
        </w:rPr>
        <w:t>d</w:t>
      </w:r>
      <w:r w:rsidR="00056C95">
        <w:rPr>
          <w:rFonts w:asciiTheme="majorHAnsi" w:hAnsiTheme="majorHAnsi" w:cstheme="majorHAnsi"/>
          <w:color w:val="000000"/>
        </w:rPr>
        <w:t xml:space="preserve"> and unincorporated)/associate</w:t>
      </w:r>
      <w:r w:rsidR="005751E2">
        <w:rPr>
          <w:rFonts w:asciiTheme="majorHAnsi" w:hAnsiTheme="majorHAnsi" w:cstheme="majorHAnsi"/>
          <w:color w:val="000000"/>
        </w:rPr>
        <w:t>s</w:t>
      </w:r>
      <w:r w:rsidR="00056C95">
        <w:rPr>
          <w:rFonts w:asciiTheme="majorHAnsi" w:hAnsiTheme="majorHAnsi" w:cstheme="majorHAnsi"/>
          <w:color w:val="000000"/>
        </w:rPr>
        <w:t xml:space="preserve"> not under the operation control but part of the undertaking’s value chain should be presented on </w:t>
      </w:r>
      <w:r w:rsidR="00976CB0">
        <w:rPr>
          <w:rFonts w:asciiTheme="majorHAnsi" w:hAnsiTheme="majorHAnsi" w:cstheme="majorHAnsi"/>
          <w:color w:val="000000"/>
        </w:rPr>
        <w:t xml:space="preserve">an </w:t>
      </w:r>
      <w:r w:rsidR="00056C95">
        <w:rPr>
          <w:rFonts w:asciiTheme="majorHAnsi" w:hAnsiTheme="majorHAnsi" w:cstheme="majorHAnsi"/>
          <w:color w:val="000000"/>
        </w:rPr>
        <w:t>equity basis</w:t>
      </w:r>
      <w:r w:rsidRPr="00180DCA">
        <w:rPr>
          <w:rFonts w:asciiTheme="majorHAnsi" w:hAnsiTheme="majorHAnsi" w:cstheme="majorHAnsi"/>
          <w:color w:val="000000"/>
        </w:rPr>
        <w:t>. It might be useful to provide an ad hoc FAQ for this matter (calculation of scope 3 emissions).</w:t>
      </w:r>
    </w:p>
    <w:p w14:paraId="2DEBFC43" w14:textId="77777777" w:rsidR="00802B93" w:rsidRPr="00180DCA" w:rsidRDefault="00802B93" w:rsidP="00802B93">
      <w:pPr>
        <w:autoSpaceDE w:val="0"/>
        <w:autoSpaceDN w:val="0"/>
        <w:adjustRightInd w:val="0"/>
        <w:jc w:val="both"/>
        <w:rPr>
          <w:rFonts w:asciiTheme="majorHAnsi" w:hAnsiTheme="majorHAnsi" w:cstheme="majorHAnsi"/>
          <w:color w:val="000000"/>
        </w:rPr>
      </w:pPr>
      <w:r w:rsidRPr="00180DCA">
        <w:rPr>
          <w:rFonts w:asciiTheme="majorHAnsi" w:hAnsiTheme="majorHAnsi" w:cstheme="majorHAnsi"/>
          <w:color w:val="000000"/>
        </w:rPr>
        <w:t>This will be especially useful to understand how to avoid cases of double counting that could be particularly relevant when disclosing scope 3 emissions.</w:t>
      </w:r>
    </w:p>
    <w:p w14:paraId="32A3AA56" w14:textId="77777777" w:rsidR="00484BAD" w:rsidRDefault="00484BAD" w:rsidP="00484BAD">
      <w:pPr>
        <w:jc w:val="both"/>
        <w:rPr>
          <w:rFonts w:asciiTheme="majorHAnsi" w:hAnsiTheme="majorHAnsi" w:cstheme="majorHAnsi"/>
          <w:b/>
          <w:bCs/>
          <w:color w:val="000000"/>
        </w:rPr>
      </w:pPr>
    </w:p>
    <w:p w14:paraId="7A499B5D" w14:textId="6B0B57C3" w:rsidR="00F44850" w:rsidRDefault="00F44850" w:rsidP="00484BAD">
      <w:pPr>
        <w:jc w:val="both"/>
        <w:rPr>
          <w:rFonts w:asciiTheme="majorHAnsi" w:hAnsiTheme="majorHAnsi" w:cstheme="majorHAnsi"/>
          <w:b/>
          <w:bCs/>
          <w:color w:val="000000"/>
        </w:rPr>
      </w:pPr>
      <w:r w:rsidRPr="00F44850">
        <w:rPr>
          <w:rFonts w:asciiTheme="majorHAnsi" w:hAnsiTheme="majorHAnsi" w:cstheme="majorHAnsi"/>
          <w:b/>
          <w:bCs/>
          <w:color w:val="000000"/>
        </w:rPr>
        <w:t>FAQ 7: How to assess and quantify the impacts of the VC resulting from business relationships?</w:t>
      </w:r>
      <w:r>
        <w:rPr>
          <w:rFonts w:asciiTheme="majorHAnsi" w:hAnsiTheme="majorHAnsi" w:cstheme="majorHAnsi"/>
          <w:b/>
          <w:bCs/>
          <w:color w:val="000000"/>
        </w:rPr>
        <w:t xml:space="preserve"> – Par. 130</w:t>
      </w:r>
    </w:p>
    <w:p w14:paraId="4DE8BEE1" w14:textId="14076EE8" w:rsidR="00337859" w:rsidRPr="006A3D56" w:rsidRDefault="00BA7F9F" w:rsidP="00337859">
      <w:pPr>
        <w:jc w:val="both"/>
        <w:rPr>
          <w:rFonts w:asciiTheme="majorHAnsi" w:hAnsiTheme="majorHAnsi" w:cstheme="majorHAnsi"/>
          <w:color w:val="000000"/>
        </w:rPr>
      </w:pPr>
      <w:r w:rsidRPr="00180DCA">
        <w:rPr>
          <w:rFonts w:asciiTheme="majorHAnsi" w:hAnsiTheme="majorHAnsi" w:cstheme="majorHAnsi"/>
          <w:color w:val="000000"/>
        </w:rPr>
        <w:t>More emphasis should be placed on the link to the core activities of the Undertaking and the relevance of the information represented, excluding less relevant information.</w:t>
      </w:r>
      <w:r w:rsidR="00337859">
        <w:rPr>
          <w:rFonts w:asciiTheme="majorHAnsi" w:hAnsiTheme="majorHAnsi" w:cstheme="majorHAnsi"/>
          <w:color w:val="000000"/>
        </w:rPr>
        <w:t xml:space="preserve"> </w:t>
      </w:r>
      <w:r w:rsidR="00337859" w:rsidRPr="006A3D56">
        <w:rPr>
          <w:rFonts w:asciiTheme="majorHAnsi" w:hAnsiTheme="majorHAnsi" w:cstheme="majorHAnsi"/>
          <w:color w:val="000000"/>
        </w:rPr>
        <w:t>In general, the effort imposed with respect to the consideration of Value Chain actors must be proportionate. The Undertaking does not need to collect data from all the actors in its Value Chain and could exclude those who provide not relevant products or services</w:t>
      </w:r>
      <w:r w:rsidR="00056C95">
        <w:rPr>
          <w:rFonts w:asciiTheme="majorHAnsi" w:hAnsiTheme="majorHAnsi" w:cstheme="majorHAnsi"/>
          <w:color w:val="000000"/>
        </w:rPr>
        <w:t>; for example, for a manufacture entity, service contracts for legal or tax assistance could be considered</w:t>
      </w:r>
      <w:r w:rsidR="00B875E3">
        <w:rPr>
          <w:rFonts w:asciiTheme="majorHAnsi" w:hAnsiTheme="majorHAnsi" w:cstheme="majorHAnsi"/>
          <w:color w:val="000000"/>
        </w:rPr>
        <w:t>,</w:t>
      </w:r>
      <w:r w:rsidR="00056C95">
        <w:rPr>
          <w:rFonts w:asciiTheme="majorHAnsi" w:hAnsiTheme="majorHAnsi" w:cstheme="majorHAnsi"/>
          <w:color w:val="000000"/>
        </w:rPr>
        <w:t xml:space="preserve"> in general</w:t>
      </w:r>
      <w:r w:rsidR="00B875E3">
        <w:rPr>
          <w:rFonts w:asciiTheme="majorHAnsi" w:hAnsiTheme="majorHAnsi" w:cstheme="majorHAnsi"/>
          <w:color w:val="000000"/>
        </w:rPr>
        <w:t>,</w:t>
      </w:r>
      <w:r w:rsidR="00056C95">
        <w:rPr>
          <w:rFonts w:asciiTheme="majorHAnsi" w:hAnsiTheme="majorHAnsi" w:cstheme="majorHAnsi"/>
          <w:color w:val="000000"/>
        </w:rPr>
        <w:t xml:space="preserve"> less “risky” and relevant compared to those contracts strictly </w:t>
      </w:r>
      <w:r w:rsidR="00B875E3">
        <w:rPr>
          <w:rFonts w:asciiTheme="majorHAnsi" w:hAnsiTheme="majorHAnsi" w:cstheme="majorHAnsi"/>
          <w:color w:val="000000"/>
        </w:rPr>
        <w:t>related</w:t>
      </w:r>
      <w:r w:rsidR="00056C95">
        <w:rPr>
          <w:rFonts w:asciiTheme="majorHAnsi" w:hAnsiTheme="majorHAnsi" w:cstheme="majorHAnsi"/>
          <w:color w:val="000000"/>
        </w:rPr>
        <w:t xml:space="preserve"> </w:t>
      </w:r>
      <w:r w:rsidR="00B875E3">
        <w:rPr>
          <w:rFonts w:asciiTheme="majorHAnsi" w:hAnsiTheme="majorHAnsi" w:cstheme="majorHAnsi"/>
          <w:color w:val="000000"/>
        </w:rPr>
        <w:t>to</w:t>
      </w:r>
      <w:r w:rsidR="00056C95">
        <w:rPr>
          <w:rFonts w:asciiTheme="majorHAnsi" w:hAnsiTheme="majorHAnsi" w:cstheme="majorHAnsi"/>
          <w:color w:val="000000"/>
        </w:rPr>
        <w:t xml:space="preserve"> the production processes. </w:t>
      </w:r>
      <w:r w:rsidR="00337859" w:rsidRPr="006A3D56">
        <w:rPr>
          <w:rFonts w:asciiTheme="majorHAnsi" w:hAnsiTheme="majorHAnsi" w:cstheme="majorHAnsi"/>
          <w:color w:val="000000"/>
        </w:rPr>
        <w:t>As such, more emphasis should be placed on the link with the undertaking's core activities ("Prevaling Value-Chain") and the relevance of the data represented, clearly excluding less relevant information. On this aspect more examples could result very useful especially distinguishing between smaller and larger companies.</w:t>
      </w:r>
    </w:p>
    <w:p w14:paraId="25B4E12D" w14:textId="74EFAA9B" w:rsidR="00BA7F9F" w:rsidRPr="00180DCA" w:rsidRDefault="00BA7F9F" w:rsidP="00484BAD">
      <w:pPr>
        <w:jc w:val="both"/>
        <w:rPr>
          <w:rFonts w:asciiTheme="majorHAnsi" w:hAnsiTheme="majorHAnsi" w:cstheme="majorHAnsi"/>
          <w:color w:val="000000"/>
        </w:rPr>
      </w:pPr>
    </w:p>
    <w:p w14:paraId="6AB38EA7" w14:textId="77777777" w:rsidR="00BA7F9F" w:rsidRDefault="00BA7F9F" w:rsidP="00484BAD">
      <w:pPr>
        <w:jc w:val="both"/>
        <w:rPr>
          <w:rFonts w:ascii="Segoe UI" w:hAnsi="Segoe UI" w:cs="Segoe UI"/>
          <w:color w:val="000000"/>
          <w:sz w:val="20"/>
          <w:szCs w:val="20"/>
        </w:rPr>
      </w:pPr>
    </w:p>
    <w:p w14:paraId="64CCF307" w14:textId="6B0AF6C4" w:rsidR="00BA7F9F" w:rsidRPr="001E384E" w:rsidRDefault="00BA7F9F" w:rsidP="00484BAD">
      <w:pPr>
        <w:jc w:val="both"/>
        <w:rPr>
          <w:rFonts w:asciiTheme="majorHAnsi" w:hAnsiTheme="majorHAnsi" w:cstheme="majorHAnsi"/>
          <w:b/>
          <w:bCs/>
          <w:color w:val="000000"/>
        </w:rPr>
      </w:pPr>
      <w:r w:rsidRPr="001E384E">
        <w:rPr>
          <w:rFonts w:asciiTheme="majorHAnsi" w:hAnsiTheme="majorHAnsi" w:cstheme="majorHAnsi"/>
          <w:b/>
          <w:bCs/>
          <w:color w:val="000000"/>
        </w:rPr>
        <w:t xml:space="preserve">4. VC map – Table </w:t>
      </w:r>
      <w:r w:rsidR="001E384E" w:rsidRPr="001E384E">
        <w:rPr>
          <w:rFonts w:asciiTheme="majorHAnsi" w:hAnsiTheme="majorHAnsi" w:cstheme="majorHAnsi"/>
          <w:b/>
          <w:bCs/>
          <w:color w:val="000000"/>
        </w:rPr>
        <w:t>VC coverage map of Set 1 ESRS</w:t>
      </w:r>
    </w:p>
    <w:p w14:paraId="71BD7AEB" w14:textId="21D129CC" w:rsidR="00D93310" w:rsidRPr="006A3D56" w:rsidRDefault="001E384E" w:rsidP="00444D9E">
      <w:pPr>
        <w:jc w:val="both"/>
        <w:rPr>
          <w:rFonts w:asciiTheme="majorHAnsi" w:hAnsiTheme="majorHAnsi" w:cstheme="majorHAnsi"/>
          <w:color w:val="000000"/>
        </w:rPr>
      </w:pPr>
      <w:r w:rsidRPr="00180DCA">
        <w:rPr>
          <w:rFonts w:asciiTheme="majorHAnsi" w:hAnsiTheme="majorHAnsi" w:cstheme="majorHAnsi"/>
          <w:color w:val="000000"/>
        </w:rPr>
        <w:t>In E5-5 only Own Operations are considered and not the Value Cha</w:t>
      </w:r>
      <w:r w:rsidR="00337859">
        <w:rPr>
          <w:rFonts w:asciiTheme="majorHAnsi" w:hAnsiTheme="majorHAnsi" w:cstheme="majorHAnsi"/>
          <w:color w:val="000000"/>
        </w:rPr>
        <w:t>in</w:t>
      </w:r>
      <w:r w:rsidR="00B1525B">
        <w:rPr>
          <w:rFonts w:asciiTheme="majorHAnsi" w:hAnsiTheme="majorHAnsi" w:cstheme="majorHAnsi"/>
          <w:color w:val="000000"/>
        </w:rPr>
        <w:t>.</w:t>
      </w:r>
    </w:p>
    <w:sectPr w:rsidR="00D93310" w:rsidRPr="006A3D5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727E9" w14:textId="77777777" w:rsidR="00746563" w:rsidRDefault="00746563" w:rsidP="006F3626">
      <w:r>
        <w:separator/>
      </w:r>
    </w:p>
  </w:endnote>
  <w:endnote w:type="continuationSeparator" w:id="0">
    <w:p w14:paraId="3AB2C8C7" w14:textId="77777777" w:rsidR="00746563" w:rsidRDefault="00746563"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7B572" w14:textId="77777777" w:rsidR="00746563" w:rsidRDefault="00746563" w:rsidP="006F3626">
      <w:r>
        <w:separator/>
      </w:r>
    </w:p>
  </w:footnote>
  <w:footnote w:type="continuationSeparator" w:id="0">
    <w:p w14:paraId="22399D59" w14:textId="77777777" w:rsidR="00746563" w:rsidRDefault="00746563" w:rsidP="006F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6C46"/>
    <w:multiLevelType w:val="hybridMultilevel"/>
    <w:tmpl w:val="9A148146"/>
    <w:lvl w:ilvl="0" w:tplc="64B27D4E">
      <w:numFmt w:val="bullet"/>
      <w:lvlText w:val="-"/>
      <w:lvlJc w:val="left"/>
      <w:pPr>
        <w:ind w:left="700" w:hanging="360"/>
      </w:pPr>
      <w:rPr>
        <w:rFonts w:ascii="Calibri" w:eastAsiaTheme="minorHAnsi" w:hAnsi="Calibri" w:cs="Calibri"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 w15:restartNumberingAfterBreak="0">
    <w:nsid w:val="0AD41A46"/>
    <w:multiLevelType w:val="hybridMultilevel"/>
    <w:tmpl w:val="2674BA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D5A38"/>
    <w:multiLevelType w:val="hybridMultilevel"/>
    <w:tmpl w:val="E02695F6"/>
    <w:lvl w:ilvl="0" w:tplc="81784978">
      <w:start w:val="1"/>
      <w:numFmt w:val="decimal"/>
      <w:lvlText w:val="%1)"/>
      <w:lvlJc w:val="left"/>
      <w:pPr>
        <w:ind w:left="700" w:hanging="360"/>
      </w:pPr>
      <w:rPr>
        <w:rFonts w:hint="default"/>
        <w:i w:val="0"/>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3" w15:restartNumberingAfterBreak="0">
    <w:nsid w:val="1F524FDB"/>
    <w:multiLevelType w:val="hybridMultilevel"/>
    <w:tmpl w:val="A698B04C"/>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4" w15:restartNumberingAfterBreak="0">
    <w:nsid w:val="4A586764"/>
    <w:multiLevelType w:val="hybridMultilevel"/>
    <w:tmpl w:val="88F23F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F6442"/>
    <w:multiLevelType w:val="hybridMultilevel"/>
    <w:tmpl w:val="949E071E"/>
    <w:lvl w:ilvl="0" w:tplc="C67E6678">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06E247E"/>
    <w:multiLevelType w:val="hybridMultilevel"/>
    <w:tmpl w:val="5CA800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31B544E"/>
    <w:multiLevelType w:val="hybridMultilevel"/>
    <w:tmpl w:val="D172C29C"/>
    <w:lvl w:ilvl="0" w:tplc="BCD0EE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6A8665A6"/>
    <w:multiLevelType w:val="hybridMultilevel"/>
    <w:tmpl w:val="85D6D5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7A8224D7"/>
    <w:multiLevelType w:val="hybridMultilevel"/>
    <w:tmpl w:val="957E84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5486903">
    <w:abstractNumId w:val="0"/>
  </w:num>
  <w:num w:numId="2" w16cid:durableId="550465438">
    <w:abstractNumId w:val="2"/>
  </w:num>
  <w:num w:numId="3" w16cid:durableId="784538913">
    <w:abstractNumId w:val="3"/>
  </w:num>
  <w:num w:numId="4" w16cid:durableId="1822653404">
    <w:abstractNumId w:val="9"/>
  </w:num>
  <w:num w:numId="5" w16cid:durableId="991520099">
    <w:abstractNumId w:val="1"/>
  </w:num>
  <w:num w:numId="6" w16cid:durableId="1368338483">
    <w:abstractNumId w:val="6"/>
  </w:num>
  <w:num w:numId="7" w16cid:durableId="4594737">
    <w:abstractNumId w:val="8"/>
  </w:num>
  <w:num w:numId="8" w16cid:durableId="838423676">
    <w:abstractNumId w:val="7"/>
  </w:num>
  <w:num w:numId="9" w16cid:durableId="391973233">
    <w:abstractNumId w:val="5"/>
  </w:num>
  <w:num w:numId="10" w16cid:durableId="17700823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CA3"/>
    <w:rsid w:val="00017E59"/>
    <w:rsid w:val="00041B8F"/>
    <w:rsid w:val="00044A03"/>
    <w:rsid w:val="00054DE4"/>
    <w:rsid w:val="0005528B"/>
    <w:rsid w:val="00056C95"/>
    <w:rsid w:val="000912AE"/>
    <w:rsid w:val="00091CBC"/>
    <w:rsid w:val="00092792"/>
    <w:rsid w:val="00105120"/>
    <w:rsid w:val="001346F4"/>
    <w:rsid w:val="00146AB8"/>
    <w:rsid w:val="001472FC"/>
    <w:rsid w:val="00167920"/>
    <w:rsid w:val="00180DCA"/>
    <w:rsid w:val="001A0B86"/>
    <w:rsid w:val="001A47B6"/>
    <w:rsid w:val="001B648C"/>
    <w:rsid w:val="001E384E"/>
    <w:rsid w:val="001F3071"/>
    <w:rsid w:val="001F49F5"/>
    <w:rsid w:val="00205023"/>
    <w:rsid w:val="0023318F"/>
    <w:rsid w:val="00242784"/>
    <w:rsid w:val="00254872"/>
    <w:rsid w:val="00263E46"/>
    <w:rsid w:val="002710EB"/>
    <w:rsid w:val="00273F41"/>
    <w:rsid w:val="002760AB"/>
    <w:rsid w:val="00276774"/>
    <w:rsid w:val="002A7269"/>
    <w:rsid w:val="002D24DE"/>
    <w:rsid w:val="002D732D"/>
    <w:rsid w:val="00300C6A"/>
    <w:rsid w:val="00300C6C"/>
    <w:rsid w:val="003077F5"/>
    <w:rsid w:val="00324F16"/>
    <w:rsid w:val="00337859"/>
    <w:rsid w:val="0034026B"/>
    <w:rsid w:val="00366FC4"/>
    <w:rsid w:val="003B128A"/>
    <w:rsid w:val="003E5467"/>
    <w:rsid w:val="00402B69"/>
    <w:rsid w:val="00403F13"/>
    <w:rsid w:val="00427F61"/>
    <w:rsid w:val="00444D9E"/>
    <w:rsid w:val="00447693"/>
    <w:rsid w:val="004641EA"/>
    <w:rsid w:val="00471D1E"/>
    <w:rsid w:val="00484BAD"/>
    <w:rsid w:val="004C7FE7"/>
    <w:rsid w:val="004D65BC"/>
    <w:rsid w:val="004E2A9F"/>
    <w:rsid w:val="00560576"/>
    <w:rsid w:val="00574516"/>
    <w:rsid w:val="005751E2"/>
    <w:rsid w:val="005A05A0"/>
    <w:rsid w:val="005A7C1F"/>
    <w:rsid w:val="005D1241"/>
    <w:rsid w:val="005F1053"/>
    <w:rsid w:val="00622C85"/>
    <w:rsid w:val="006247D7"/>
    <w:rsid w:val="00627C9A"/>
    <w:rsid w:val="00627EEE"/>
    <w:rsid w:val="006407A0"/>
    <w:rsid w:val="00650E75"/>
    <w:rsid w:val="0065109A"/>
    <w:rsid w:val="00664A91"/>
    <w:rsid w:val="006956F8"/>
    <w:rsid w:val="006A3D56"/>
    <w:rsid w:val="006F3626"/>
    <w:rsid w:val="006F4347"/>
    <w:rsid w:val="007247D3"/>
    <w:rsid w:val="00731C6B"/>
    <w:rsid w:val="00743AB2"/>
    <w:rsid w:val="00746563"/>
    <w:rsid w:val="007670A7"/>
    <w:rsid w:val="00794D07"/>
    <w:rsid w:val="0079702C"/>
    <w:rsid w:val="007A04C8"/>
    <w:rsid w:val="007D64EC"/>
    <w:rsid w:val="007F08BF"/>
    <w:rsid w:val="00802B93"/>
    <w:rsid w:val="00803D9B"/>
    <w:rsid w:val="008455FB"/>
    <w:rsid w:val="00847FF7"/>
    <w:rsid w:val="008559A3"/>
    <w:rsid w:val="008A0EA6"/>
    <w:rsid w:val="008B509B"/>
    <w:rsid w:val="008B5FBF"/>
    <w:rsid w:val="008B67AF"/>
    <w:rsid w:val="008D7474"/>
    <w:rsid w:val="008E03D0"/>
    <w:rsid w:val="008E3003"/>
    <w:rsid w:val="00916CA3"/>
    <w:rsid w:val="00976CB0"/>
    <w:rsid w:val="009A0601"/>
    <w:rsid w:val="009B1DB4"/>
    <w:rsid w:val="009D28B1"/>
    <w:rsid w:val="009D746F"/>
    <w:rsid w:val="00A357AC"/>
    <w:rsid w:val="00A6629F"/>
    <w:rsid w:val="00AE3B1D"/>
    <w:rsid w:val="00AE4EBB"/>
    <w:rsid w:val="00B01E5A"/>
    <w:rsid w:val="00B024A6"/>
    <w:rsid w:val="00B149C8"/>
    <w:rsid w:val="00B1525B"/>
    <w:rsid w:val="00B535C2"/>
    <w:rsid w:val="00B558C4"/>
    <w:rsid w:val="00B56D39"/>
    <w:rsid w:val="00B60DC9"/>
    <w:rsid w:val="00B64F93"/>
    <w:rsid w:val="00B875E3"/>
    <w:rsid w:val="00BA7F9F"/>
    <w:rsid w:val="00BC3D9C"/>
    <w:rsid w:val="00C00817"/>
    <w:rsid w:val="00C011D2"/>
    <w:rsid w:val="00C01B65"/>
    <w:rsid w:val="00C108F7"/>
    <w:rsid w:val="00C218BC"/>
    <w:rsid w:val="00C92ACA"/>
    <w:rsid w:val="00C96E2C"/>
    <w:rsid w:val="00CA201C"/>
    <w:rsid w:val="00CF0923"/>
    <w:rsid w:val="00D34806"/>
    <w:rsid w:val="00D542E4"/>
    <w:rsid w:val="00D601DF"/>
    <w:rsid w:val="00D91CCE"/>
    <w:rsid w:val="00D93310"/>
    <w:rsid w:val="00D946CF"/>
    <w:rsid w:val="00DB4086"/>
    <w:rsid w:val="00E107EF"/>
    <w:rsid w:val="00E12CD0"/>
    <w:rsid w:val="00E6728A"/>
    <w:rsid w:val="00E724D2"/>
    <w:rsid w:val="00E73223"/>
    <w:rsid w:val="00E92D70"/>
    <w:rsid w:val="00EA24D0"/>
    <w:rsid w:val="00EB4621"/>
    <w:rsid w:val="00ED4633"/>
    <w:rsid w:val="00ED4D59"/>
    <w:rsid w:val="00F354FA"/>
    <w:rsid w:val="00F424B4"/>
    <w:rsid w:val="00F44850"/>
    <w:rsid w:val="00F651EF"/>
    <w:rsid w:val="00F704D8"/>
    <w:rsid w:val="00F81776"/>
    <w:rsid w:val="00FB20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3B5EB"/>
  <w15:chartTrackingRefBased/>
  <w15:docId w15:val="{B086069F-D7E1-4656-BE6D-186D72C46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B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nslationsdisclaimer-parragraph">
    <w:name w:val="translations__disclaimer-parragraph"/>
    <w:basedOn w:val="Normal"/>
    <w:rsid w:val="00B01E5A"/>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B01E5A"/>
    <w:pPr>
      <w:spacing w:after="160" w:line="259" w:lineRule="auto"/>
      <w:ind w:left="720"/>
      <w:contextualSpacing/>
    </w:pPr>
    <w:rPr>
      <w:sz w:val="22"/>
      <w:szCs w:val="22"/>
      <w:lang w:val="it-IT"/>
    </w:rPr>
  </w:style>
  <w:style w:type="paragraph" w:styleId="Revision">
    <w:name w:val="Revision"/>
    <w:hidden/>
    <w:uiPriority w:val="99"/>
    <w:semiHidden/>
    <w:rsid w:val="006956F8"/>
  </w:style>
  <w:style w:type="character" w:styleId="CommentReference">
    <w:name w:val="annotation reference"/>
    <w:basedOn w:val="DefaultParagraphFont"/>
    <w:uiPriority w:val="99"/>
    <w:semiHidden/>
    <w:unhideWhenUsed/>
    <w:rsid w:val="00574516"/>
    <w:rPr>
      <w:sz w:val="16"/>
      <w:szCs w:val="16"/>
    </w:rPr>
  </w:style>
  <w:style w:type="paragraph" w:styleId="CommentText">
    <w:name w:val="annotation text"/>
    <w:basedOn w:val="Normal"/>
    <w:link w:val="CommentTextChar"/>
    <w:uiPriority w:val="99"/>
    <w:semiHidden/>
    <w:unhideWhenUsed/>
    <w:rsid w:val="00574516"/>
    <w:rPr>
      <w:sz w:val="20"/>
      <w:szCs w:val="20"/>
    </w:rPr>
  </w:style>
  <w:style w:type="character" w:customStyle="1" w:styleId="CommentTextChar">
    <w:name w:val="Comment Text Char"/>
    <w:basedOn w:val="DefaultParagraphFont"/>
    <w:link w:val="CommentText"/>
    <w:uiPriority w:val="99"/>
    <w:semiHidden/>
    <w:rsid w:val="00574516"/>
    <w:rPr>
      <w:sz w:val="20"/>
      <w:szCs w:val="20"/>
    </w:rPr>
  </w:style>
  <w:style w:type="paragraph" w:styleId="CommentSubject">
    <w:name w:val="annotation subject"/>
    <w:basedOn w:val="CommentText"/>
    <w:next w:val="CommentText"/>
    <w:link w:val="CommentSubjectChar"/>
    <w:uiPriority w:val="99"/>
    <w:semiHidden/>
    <w:unhideWhenUsed/>
    <w:rsid w:val="00574516"/>
    <w:rPr>
      <w:b/>
      <w:bCs/>
    </w:rPr>
  </w:style>
  <w:style w:type="character" w:customStyle="1" w:styleId="CommentSubjectChar">
    <w:name w:val="Comment Subject Char"/>
    <w:basedOn w:val="CommentTextChar"/>
    <w:link w:val="CommentSubject"/>
    <w:uiPriority w:val="99"/>
    <w:semiHidden/>
    <w:rsid w:val="00574516"/>
    <w:rPr>
      <w:b/>
      <w:bCs/>
      <w:sz w:val="20"/>
      <w:szCs w:val="20"/>
    </w:rPr>
  </w:style>
  <w:style w:type="paragraph" w:customStyle="1" w:styleId="Default">
    <w:name w:val="Default"/>
    <w:rsid w:val="00ED4D59"/>
    <w:pPr>
      <w:autoSpaceDE w:val="0"/>
      <w:autoSpaceDN w:val="0"/>
      <w:adjustRightInd w:val="0"/>
    </w:pPr>
    <w:rPr>
      <w:rFonts w:ascii="Avenir Next LT Pro" w:hAnsi="Avenir Next LT Pro" w:cs="Avenir Next LT Pro"/>
      <w:color w:val="00000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092753">
      <w:bodyDiv w:val="1"/>
      <w:marLeft w:val="0"/>
      <w:marRight w:val="0"/>
      <w:marTop w:val="0"/>
      <w:marBottom w:val="0"/>
      <w:divBdr>
        <w:top w:val="none" w:sz="0" w:space="0" w:color="auto"/>
        <w:left w:val="none" w:sz="0" w:space="0" w:color="auto"/>
        <w:bottom w:val="none" w:sz="0" w:space="0" w:color="auto"/>
        <w:right w:val="none" w:sz="0" w:space="0" w:color="auto"/>
      </w:divBdr>
    </w:div>
    <w:div w:id="981351748">
      <w:bodyDiv w:val="1"/>
      <w:marLeft w:val="0"/>
      <w:marRight w:val="0"/>
      <w:marTop w:val="0"/>
      <w:marBottom w:val="0"/>
      <w:divBdr>
        <w:top w:val="none" w:sz="0" w:space="0" w:color="auto"/>
        <w:left w:val="none" w:sz="0" w:space="0" w:color="auto"/>
        <w:bottom w:val="none" w:sz="0" w:space="0" w:color="auto"/>
        <w:right w:val="none" w:sz="0" w:space="0" w:color="auto"/>
      </w:divBdr>
      <w:divsChild>
        <w:div w:id="1843934643">
          <w:marLeft w:val="0"/>
          <w:marRight w:val="0"/>
          <w:marTop w:val="0"/>
          <w:marBottom w:val="0"/>
          <w:divBdr>
            <w:top w:val="none" w:sz="0" w:space="0" w:color="auto"/>
            <w:left w:val="none" w:sz="0" w:space="0" w:color="auto"/>
            <w:bottom w:val="none" w:sz="0" w:space="0" w:color="auto"/>
            <w:right w:val="none" w:sz="0" w:space="0" w:color="auto"/>
          </w:divBdr>
          <w:divsChild>
            <w:div w:id="548493401">
              <w:marLeft w:val="0"/>
              <w:marRight w:val="0"/>
              <w:marTop w:val="0"/>
              <w:marBottom w:val="360"/>
              <w:divBdr>
                <w:top w:val="single" w:sz="6" w:space="18" w:color="E0E0E0"/>
                <w:left w:val="none" w:sz="0" w:space="0" w:color="auto"/>
                <w:bottom w:val="single" w:sz="6" w:space="18" w:color="E0E0E0"/>
                <w:right w:val="single" w:sz="6" w:space="18" w:color="E0E0E0"/>
              </w:divBdr>
              <w:divsChild>
                <w:div w:id="205199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762383">
          <w:marLeft w:val="0"/>
          <w:marRight w:val="0"/>
          <w:marTop w:val="0"/>
          <w:marBottom w:val="0"/>
          <w:divBdr>
            <w:top w:val="single" w:sz="6" w:space="12" w:color="F0F0F0"/>
            <w:left w:val="single" w:sz="6" w:space="12" w:color="F0F0F0"/>
            <w:bottom w:val="single" w:sz="6" w:space="12" w:color="F0F0F0"/>
            <w:right w:val="single" w:sz="6" w:space="12" w:color="F0F0F0"/>
          </w:divBdr>
        </w:div>
      </w:divsChild>
    </w:div>
    <w:div w:id="1076438152">
      <w:bodyDiv w:val="1"/>
      <w:marLeft w:val="0"/>
      <w:marRight w:val="0"/>
      <w:marTop w:val="0"/>
      <w:marBottom w:val="0"/>
      <w:divBdr>
        <w:top w:val="none" w:sz="0" w:space="0" w:color="auto"/>
        <w:left w:val="none" w:sz="0" w:space="0" w:color="auto"/>
        <w:bottom w:val="none" w:sz="0" w:space="0" w:color="auto"/>
        <w:right w:val="none" w:sz="0" w:space="0" w:color="auto"/>
      </w:divBdr>
    </w:div>
    <w:div w:id="213629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cerruti\AppData\Local\Temp\Templafy\WordVsto\rqttskme.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89D0B02BBAA53B499C4999CF95C8AABC" ma:contentTypeVersion="6" ma:contentTypeDescription="Creare un nuovo documento." ma:contentTypeScope="" ma:versionID="84fbff44d96993aaa41c3891853737d0">
  <xsd:schema xmlns:xsd="http://www.w3.org/2001/XMLSchema" xmlns:xs="http://www.w3.org/2001/XMLSchema" xmlns:p="http://schemas.microsoft.com/office/2006/metadata/properties" xmlns:ns2="e9f293f4-384e-4514-a3d8-0112baeb0175" xmlns:ns3="456f7e56-56f1-4b7f-b843-90f22868d97b" targetNamespace="http://schemas.microsoft.com/office/2006/metadata/properties" ma:root="true" ma:fieldsID="21571f00c150f5cf63703da9c4f655e1" ns2:_="" ns3:_="">
    <xsd:import namespace="e9f293f4-384e-4514-a3d8-0112baeb0175"/>
    <xsd:import namespace="456f7e56-56f1-4b7f-b843-90f22868d97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f293f4-384e-4514-a3d8-0112baeb01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6f7e56-56f1-4b7f-b843-90f22868d97b"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TemplafyFormConfiguration><![CDATA[{"formFields":[],"formDataEntries":[]}]]></TemplafyFormConfiguration>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C118A28A-7FA3-4394-A3F0-D47B2BAD60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BE9AE1-B3CB-4FC4-A4DB-96BEA7D3D2E4}">
  <ds:schemaRefs>
    <ds:schemaRef ds:uri="http://schemas.microsoft.com/sharepoint/v3/contenttype/forms"/>
  </ds:schemaRefs>
</ds:datastoreItem>
</file>

<file path=customXml/itemProps4.xml><?xml version="1.0" encoding="utf-8"?>
<ds:datastoreItem xmlns:ds="http://schemas.openxmlformats.org/officeDocument/2006/customXml" ds:itemID="{C36EE443-E0DF-479A-AB06-BFCB6D36AC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f293f4-384e-4514-a3d8-0112baeb0175"/>
    <ds:schemaRef ds:uri="456f7e56-56f1-4b7f-b843-90f22868d9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59D7EC-AE77-4DF6-AA45-EACF2B433547}">
  <ds:schemaRefs/>
</ds:datastoreItem>
</file>

<file path=docProps/app.xml><?xml version="1.0" encoding="utf-8"?>
<Properties xmlns="http://schemas.openxmlformats.org/officeDocument/2006/extended-properties" xmlns:vt="http://schemas.openxmlformats.org/officeDocument/2006/docPropsVTypes">
  <Template>rqttskme</Template>
  <TotalTime>12</TotalTime>
  <Pages>4</Pages>
  <Words>1732</Words>
  <Characters>9876</Characters>
  <Application>Microsoft Office Word</Application>
  <DocSecurity>0</DocSecurity>
  <Lines>82</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DDF Administrator</dc:creator>
  <cp:keywords/>
  <dc:description/>
  <cp:lastModifiedBy>Nicola Maria Bacaro</cp:lastModifiedBy>
  <cp:revision>4</cp:revision>
  <dcterms:created xsi:type="dcterms:W3CDTF">2024-02-02T14:09:00Z</dcterms:created>
  <dcterms:modified xsi:type="dcterms:W3CDTF">2024-02-02T14:52:00Z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637824989934977488</vt:lpwstr>
  </property>
  <property fmtid="{D5CDD505-2E9C-101B-9397-08002B2CF9AE}" pid="12" name="TemplafyFromBlank">
    <vt:bool>true</vt:bool>
  </property>
  <property fmtid="{D5CDD505-2E9C-101B-9397-08002B2CF9AE}" pid="13" name="ContentTypeId">
    <vt:lpwstr>0x01010089D0B02BBAA53B499C4999CF95C8AABC</vt:lpwstr>
  </property>
</Properties>
</file>