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C81A3" w14:textId="6F7FCA18" w:rsidR="00282272" w:rsidRDefault="000B1560" w:rsidP="006C14FE">
      <w:pPr>
        <w:pStyle w:val="Title"/>
      </w:pPr>
      <w:r>
        <w:t>Response to EFRAG’s consultation on the draft ESRS Implementation Guidance: cross-cutting comments</w:t>
      </w:r>
    </w:p>
    <w:p w14:paraId="62186B8D" w14:textId="79FDA007" w:rsidR="00F871DC" w:rsidRDefault="000B1560" w:rsidP="0095146F">
      <w:pPr>
        <w:pStyle w:val="Date"/>
      </w:pPr>
      <w:r>
        <w:t>2 February 2024</w:t>
      </w:r>
    </w:p>
    <w:p w14:paraId="072ADE44" w14:textId="688495E5" w:rsidR="00AE267C" w:rsidRDefault="00AE267C" w:rsidP="000B1560">
      <w:pPr>
        <w:pStyle w:val="BodyText"/>
      </w:pPr>
      <w:r w:rsidRPr="00E917F3">
        <w:t>The Association for Financial Markets in Europe (</w:t>
      </w:r>
      <w:r w:rsidRPr="00E917F3">
        <w:rPr>
          <w:bCs/>
        </w:rPr>
        <w:t>AFME</w:t>
      </w:r>
      <w:r w:rsidRPr="00E917F3">
        <w:t>)</w:t>
      </w:r>
      <w:r w:rsidR="000B1560">
        <w:rPr>
          <w:rStyle w:val="FootnoteReference"/>
        </w:rPr>
        <w:footnoteReference w:id="1"/>
      </w:r>
      <w:r w:rsidRPr="00E917F3">
        <w:t xml:space="preserve"> welcomes the opportunity </w:t>
      </w:r>
      <w:r w:rsidR="000B1560">
        <w:t xml:space="preserve">provide feedback on EFRAG’s draft ESRS Implementation Guidance on the materiality assessment, value chain and ESRS datapoints. </w:t>
      </w:r>
    </w:p>
    <w:p w14:paraId="1E91BCAF" w14:textId="5E410E78" w:rsidR="000B1560" w:rsidRDefault="000B1560" w:rsidP="000B1560">
      <w:pPr>
        <w:pStyle w:val="BodyText"/>
      </w:pPr>
      <w:r>
        <w:t xml:space="preserve">We set out below our cross-cutting feedback to EFRAG on the draft ESRS Implementation Guidance including input relevant to the forthcoming sectoral standards for the financial services sector. This accompanies our specific feedback to each of the three draft ESRS IG which we have submitted through the online survey. </w:t>
      </w:r>
    </w:p>
    <w:p w14:paraId="6728B56D" w14:textId="10203F0C" w:rsidR="000B1560" w:rsidRPr="000B1560" w:rsidRDefault="000B1560" w:rsidP="000B1560">
      <w:pPr>
        <w:pStyle w:val="Body"/>
        <w:rPr>
          <w:rFonts w:asciiTheme="minorHAnsi" w:eastAsia="Calibri" w:hAnsiTheme="minorHAnsi"/>
          <w:kern w:val="0"/>
          <w:sz w:val="22"/>
          <w:lang w:eastAsia="en-GB"/>
        </w:rPr>
      </w:pPr>
      <w:r w:rsidRPr="000B1560">
        <w:rPr>
          <w:rFonts w:asciiTheme="minorHAnsi" w:eastAsia="Calibri" w:hAnsiTheme="minorHAnsi"/>
          <w:kern w:val="0"/>
          <w:sz w:val="22"/>
          <w:lang w:eastAsia="en-GB"/>
        </w:rPr>
        <w:t xml:space="preserve">AFME members welcome the opportunity to provide feedback to EFRAG on its three sets of </w:t>
      </w:r>
      <w:r>
        <w:rPr>
          <w:rFonts w:asciiTheme="minorHAnsi" w:eastAsia="Calibri" w:hAnsiTheme="minorHAnsi"/>
          <w:kern w:val="0"/>
          <w:sz w:val="22"/>
          <w:lang w:eastAsia="en-GB"/>
        </w:rPr>
        <w:t>draft ESRS implementation</w:t>
      </w:r>
      <w:r w:rsidRPr="000B1560">
        <w:rPr>
          <w:rFonts w:asciiTheme="minorHAnsi" w:eastAsia="Calibri" w:hAnsiTheme="minorHAnsi"/>
          <w:kern w:val="0"/>
          <w:sz w:val="22"/>
          <w:lang w:eastAsia="en-GB"/>
        </w:rPr>
        <w:t xml:space="preserve"> guidance and appreciate the work EFRAG has done in preparing these guides for the industry. </w:t>
      </w:r>
      <w:proofErr w:type="gramStart"/>
      <w:r w:rsidRPr="000B1560">
        <w:rPr>
          <w:rFonts w:asciiTheme="minorHAnsi" w:eastAsia="Calibri" w:hAnsiTheme="minorHAnsi"/>
          <w:kern w:val="0"/>
          <w:sz w:val="22"/>
          <w:lang w:eastAsia="en-GB"/>
        </w:rPr>
        <w:t>In particular, we</w:t>
      </w:r>
      <w:proofErr w:type="gramEnd"/>
      <w:r w:rsidRPr="000B1560">
        <w:rPr>
          <w:rFonts w:asciiTheme="minorHAnsi" w:eastAsia="Calibri" w:hAnsiTheme="minorHAnsi"/>
          <w:kern w:val="0"/>
          <w:sz w:val="22"/>
          <w:lang w:eastAsia="en-GB"/>
        </w:rPr>
        <w:t xml:space="preserve"> consider that EFRAG IG 3 will be a very useful checklist for firms in preparing their CSRD reports and have provided some suggestions on further enhancing the usability of the spreadsheet of CSRD datapoints drafted by EFRAG</w:t>
      </w:r>
      <w:r>
        <w:rPr>
          <w:rFonts w:asciiTheme="minorHAnsi" w:eastAsia="Calibri" w:hAnsiTheme="minorHAnsi"/>
          <w:kern w:val="0"/>
          <w:sz w:val="22"/>
          <w:lang w:eastAsia="en-GB"/>
        </w:rPr>
        <w:t xml:space="preserve"> in our feedback to the relevant survey</w:t>
      </w:r>
      <w:r w:rsidRPr="000B1560">
        <w:rPr>
          <w:rFonts w:asciiTheme="minorHAnsi" w:eastAsia="Calibri" w:hAnsiTheme="minorHAnsi"/>
          <w:kern w:val="0"/>
          <w:sz w:val="22"/>
          <w:lang w:eastAsia="en-GB"/>
        </w:rPr>
        <w:t>.</w:t>
      </w:r>
    </w:p>
    <w:p w14:paraId="1FC4FF0D" w14:textId="77777777" w:rsidR="000B1560" w:rsidRPr="0085541E" w:rsidRDefault="000B1560" w:rsidP="000B1560">
      <w:pPr>
        <w:pStyle w:val="Body"/>
        <w:rPr>
          <w:rFonts w:asciiTheme="majorHAnsi" w:eastAsiaTheme="majorEastAsia" w:hAnsiTheme="majorHAnsi" w:cstheme="majorBidi"/>
          <w:b/>
          <w:color w:val="78A22F" w:themeColor="accent1"/>
          <w:kern w:val="0"/>
          <w:sz w:val="22"/>
          <w:lang w:eastAsia="en-GB"/>
        </w:rPr>
      </w:pPr>
      <w:r w:rsidRPr="0085541E">
        <w:rPr>
          <w:rFonts w:asciiTheme="majorHAnsi" w:eastAsiaTheme="majorEastAsia" w:hAnsiTheme="majorHAnsi" w:cstheme="majorBidi"/>
          <w:b/>
          <w:color w:val="78A22F" w:themeColor="accent1"/>
          <w:kern w:val="0"/>
          <w:sz w:val="22"/>
          <w:lang w:eastAsia="en-GB"/>
        </w:rPr>
        <w:t xml:space="preserve">Request for further guidance for the financial services sector in </w:t>
      </w:r>
      <w:proofErr w:type="gramStart"/>
      <w:r w:rsidRPr="0085541E">
        <w:rPr>
          <w:rFonts w:asciiTheme="majorHAnsi" w:eastAsiaTheme="majorEastAsia" w:hAnsiTheme="majorHAnsi" w:cstheme="majorBidi"/>
          <w:b/>
          <w:color w:val="78A22F" w:themeColor="accent1"/>
          <w:kern w:val="0"/>
          <w:sz w:val="22"/>
          <w:lang w:eastAsia="en-GB"/>
        </w:rPr>
        <w:t>sector-specific</w:t>
      </w:r>
      <w:proofErr w:type="gramEnd"/>
      <w:r w:rsidRPr="0085541E">
        <w:rPr>
          <w:rFonts w:asciiTheme="majorHAnsi" w:eastAsiaTheme="majorEastAsia" w:hAnsiTheme="majorHAnsi" w:cstheme="majorBidi"/>
          <w:b/>
          <w:color w:val="78A22F" w:themeColor="accent1"/>
          <w:kern w:val="0"/>
          <w:sz w:val="22"/>
          <w:lang w:eastAsia="en-GB"/>
        </w:rPr>
        <w:t xml:space="preserve"> ESRS</w:t>
      </w:r>
    </w:p>
    <w:p w14:paraId="63795124" w14:textId="4A68DEDC" w:rsidR="000B1560" w:rsidRPr="0085541E" w:rsidRDefault="000B1560" w:rsidP="000B1560">
      <w:pPr>
        <w:pStyle w:val="Body"/>
        <w:rPr>
          <w:rFonts w:asciiTheme="minorHAnsi" w:eastAsia="Calibri" w:hAnsiTheme="minorHAnsi"/>
          <w:kern w:val="0"/>
          <w:sz w:val="22"/>
          <w:lang w:eastAsia="en-GB"/>
        </w:rPr>
      </w:pPr>
      <w:r w:rsidRPr="0085541E">
        <w:rPr>
          <w:rFonts w:asciiTheme="minorHAnsi" w:eastAsia="Calibri" w:hAnsiTheme="minorHAnsi"/>
          <w:kern w:val="0"/>
          <w:sz w:val="22"/>
          <w:lang w:eastAsia="en-GB"/>
        </w:rPr>
        <w:t xml:space="preserve">We have submitted our detailed feedback in the survey for each guidance document, and an overarching theme in our comments is a request for further guidance for the financial services sector to be provided as part of the </w:t>
      </w:r>
      <w:proofErr w:type="gramStart"/>
      <w:r w:rsidRPr="0085541E">
        <w:rPr>
          <w:rFonts w:asciiTheme="minorHAnsi" w:eastAsia="Calibri" w:hAnsiTheme="minorHAnsi"/>
          <w:kern w:val="0"/>
          <w:sz w:val="22"/>
          <w:lang w:eastAsia="en-GB"/>
        </w:rPr>
        <w:t>sector-specific</w:t>
      </w:r>
      <w:proofErr w:type="gramEnd"/>
      <w:r w:rsidRPr="0085541E">
        <w:rPr>
          <w:rFonts w:asciiTheme="minorHAnsi" w:eastAsia="Calibri" w:hAnsiTheme="minorHAnsi"/>
          <w:kern w:val="0"/>
          <w:sz w:val="22"/>
          <w:lang w:eastAsia="en-GB"/>
        </w:rPr>
        <w:t xml:space="preserve"> ESRS. In general, we note that both the materiality assessment implementation guidance and the value chain assessment guidance contain very few examples on how to apply these concepts to the financial services sector. We urge EFRAG to clarify the application of these terms to reporting undertakings which are regulated financial undertakings as part of the </w:t>
      </w:r>
      <w:proofErr w:type="gramStart"/>
      <w:r w:rsidRPr="0085541E">
        <w:rPr>
          <w:rFonts w:asciiTheme="minorHAnsi" w:eastAsia="Calibri" w:hAnsiTheme="minorHAnsi"/>
          <w:kern w:val="0"/>
          <w:sz w:val="22"/>
          <w:lang w:eastAsia="en-GB"/>
        </w:rPr>
        <w:t>sector-specific</w:t>
      </w:r>
      <w:proofErr w:type="gramEnd"/>
      <w:r w:rsidRPr="0085541E">
        <w:rPr>
          <w:rFonts w:asciiTheme="minorHAnsi" w:eastAsia="Calibri" w:hAnsiTheme="minorHAnsi"/>
          <w:kern w:val="0"/>
          <w:sz w:val="22"/>
          <w:lang w:eastAsia="en-GB"/>
        </w:rPr>
        <w:t xml:space="preserve"> ESRS. AFME is willing to engage with EFRAG in order to provide input into the </w:t>
      </w:r>
      <w:proofErr w:type="gramStart"/>
      <w:r w:rsidRPr="0085541E">
        <w:rPr>
          <w:rFonts w:asciiTheme="minorHAnsi" w:eastAsia="Calibri" w:hAnsiTheme="minorHAnsi"/>
          <w:kern w:val="0"/>
          <w:sz w:val="22"/>
          <w:lang w:eastAsia="en-GB"/>
        </w:rPr>
        <w:t>sector-specific</w:t>
      </w:r>
      <w:proofErr w:type="gramEnd"/>
      <w:r w:rsidRPr="0085541E">
        <w:rPr>
          <w:rFonts w:asciiTheme="minorHAnsi" w:eastAsia="Calibri" w:hAnsiTheme="minorHAnsi"/>
          <w:kern w:val="0"/>
          <w:sz w:val="22"/>
          <w:lang w:eastAsia="en-GB"/>
        </w:rPr>
        <w:t xml:space="preserve"> ESRS relevant to regulated financial undertakings.</w:t>
      </w:r>
    </w:p>
    <w:p w14:paraId="402AAD7E" w14:textId="77777777" w:rsidR="000B1560" w:rsidRPr="0085541E" w:rsidRDefault="000B1560" w:rsidP="000B1560">
      <w:pPr>
        <w:pStyle w:val="Body"/>
        <w:rPr>
          <w:rFonts w:asciiTheme="majorHAnsi" w:eastAsiaTheme="majorEastAsia" w:hAnsiTheme="majorHAnsi" w:cstheme="majorBidi"/>
          <w:b/>
          <w:color w:val="78A22F" w:themeColor="accent1"/>
          <w:kern w:val="0"/>
          <w:szCs w:val="20"/>
          <w:lang w:eastAsia="en-GB"/>
        </w:rPr>
      </w:pPr>
      <w:r w:rsidRPr="0085541E">
        <w:rPr>
          <w:rFonts w:asciiTheme="majorHAnsi" w:eastAsiaTheme="majorEastAsia" w:hAnsiTheme="majorHAnsi" w:cstheme="majorBidi"/>
          <w:b/>
          <w:color w:val="78A22F" w:themeColor="accent1"/>
          <w:kern w:val="0"/>
          <w:sz w:val="22"/>
          <w:lang w:eastAsia="en-GB"/>
        </w:rPr>
        <w:t>Transition period for sector-specific standards</w:t>
      </w:r>
    </w:p>
    <w:p w14:paraId="176F1703" w14:textId="77777777" w:rsidR="000B1560" w:rsidRPr="0085541E" w:rsidRDefault="000B1560" w:rsidP="000B1560">
      <w:pPr>
        <w:pStyle w:val="Body"/>
        <w:rPr>
          <w:rFonts w:asciiTheme="minorHAnsi" w:eastAsia="Calibri" w:hAnsiTheme="minorHAnsi"/>
          <w:kern w:val="0"/>
          <w:sz w:val="22"/>
          <w:lang w:eastAsia="en-GB"/>
        </w:rPr>
      </w:pPr>
      <w:r w:rsidRPr="0085541E">
        <w:rPr>
          <w:rFonts w:asciiTheme="minorHAnsi" w:eastAsia="Calibri" w:hAnsiTheme="minorHAnsi"/>
          <w:kern w:val="0"/>
          <w:sz w:val="22"/>
          <w:lang w:eastAsia="en-GB"/>
        </w:rPr>
        <w:t>We understand that the sector-specific standards are expected to be published in 2026 and would welcome EFRAG setting out an updated timeframe following the expected extension of the deadline for delivery of the sector-specific guidance to 30 June 2026.</w:t>
      </w:r>
    </w:p>
    <w:p w14:paraId="404E8554" w14:textId="1BD28205" w:rsidR="000B1560" w:rsidRPr="0085541E" w:rsidRDefault="000B1560" w:rsidP="000B1560">
      <w:pPr>
        <w:pStyle w:val="Body"/>
        <w:rPr>
          <w:rFonts w:asciiTheme="minorHAnsi" w:eastAsia="Calibri" w:hAnsiTheme="minorHAnsi"/>
          <w:kern w:val="0"/>
          <w:sz w:val="22"/>
          <w:lang w:eastAsia="en-GB"/>
        </w:rPr>
      </w:pPr>
      <w:r w:rsidRPr="0085541E">
        <w:rPr>
          <w:rFonts w:asciiTheme="minorHAnsi" w:eastAsia="Calibri" w:hAnsiTheme="minorHAnsi"/>
          <w:kern w:val="0"/>
          <w:sz w:val="22"/>
          <w:lang w:eastAsia="en-GB"/>
        </w:rPr>
        <w:t xml:space="preserve">If reporting undertakings will be required to apply the sector-specific standards in relation to their reports of 2027 (on FY 2026), this will impose a significant compliance burden on reporting undertakings. This would particularly be the case if the sector-specific standards mandate any additional metrics to be reported on, since reporting undertakings will need to gather this information during FY 2026 itself (and in most cases it may not even be possible to collect this information in hindsight). We would therefore strongly urge EFRAG to clarify that all reporting undertakings will have a full financial year at the minimum (and ideally an 18–24-month implementation period) to apply and to implement the sector-specific standards as an implementation period and that reporting undertakings may apply the transitional provisions relating to entity-specific </w:t>
      </w:r>
      <w:r w:rsidRPr="0085541E">
        <w:rPr>
          <w:rFonts w:asciiTheme="minorHAnsi" w:eastAsia="Calibri" w:hAnsiTheme="minorHAnsi"/>
          <w:kern w:val="0"/>
          <w:sz w:val="22"/>
          <w:lang w:eastAsia="en-GB"/>
        </w:rPr>
        <w:lastRenderedPageBreak/>
        <w:t>disclosures for the whole interim period during which the sector-specific standards have not yet become applicable.</w:t>
      </w:r>
    </w:p>
    <w:p w14:paraId="1F5DB717" w14:textId="77777777" w:rsidR="000B1560" w:rsidRPr="0085541E" w:rsidRDefault="000B1560" w:rsidP="000B1560">
      <w:pPr>
        <w:pStyle w:val="Body"/>
        <w:rPr>
          <w:rFonts w:asciiTheme="minorHAnsi" w:eastAsia="Calibri" w:hAnsiTheme="minorHAnsi"/>
          <w:kern w:val="0"/>
          <w:sz w:val="22"/>
          <w:lang w:eastAsia="en-GB"/>
        </w:rPr>
      </w:pPr>
      <w:r w:rsidRPr="0085541E">
        <w:rPr>
          <w:rFonts w:asciiTheme="minorHAnsi" w:eastAsia="Calibri" w:hAnsiTheme="minorHAnsi"/>
          <w:kern w:val="0"/>
          <w:sz w:val="22"/>
          <w:lang w:eastAsia="en-GB"/>
        </w:rPr>
        <w:t>In addition, AFME would like to take this opportunity to urge EFRAG to allow industry sufficient time to comment on the draft sector-specific guidance and to ensure that the sector-specific standards are as concise as possible, with minimal repetition. We finally request that EFRAG provides clarity on the anticipated timeline for the sector-specific standards, so that AFME’s members can plan appropriately.</w:t>
      </w:r>
    </w:p>
    <w:p w14:paraId="6945C372" w14:textId="77777777" w:rsidR="000B1560" w:rsidRPr="0085541E" w:rsidRDefault="000B1560" w:rsidP="000B1560">
      <w:pPr>
        <w:pStyle w:val="Body"/>
        <w:rPr>
          <w:rFonts w:asciiTheme="majorHAnsi" w:eastAsiaTheme="majorEastAsia" w:hAnsiTheme="majorHAnsi" w:cstheme="majorBidi"/>
          <w:b/>
          <w:color w:val="78A22F" w:themeColor="accent1"/>
          <w:kern w:val="0"/>
          <w:sz w:val="22"/>
          <w:lang w:eastAsia="en-GB"/>
        </w:rPr>
      </w:pPr>
      <w:r w:rsidRPr="0085541E">
        <w:rPr>
          <w:rFonts w:asciiTheme="majorHAnsi" w:eastAsiaTheme="majorEastAsia" w:hAnsiTheme="majorHAnsi" w:cstheme="majorBidi"/>
          <w:b/>
          <w:color w:val="78A22F" w:themeColor="accent1"/>
          <w:kern w:val="0"/>
          <w:sz w:val="22"/>
          <w:lang w:eastAsia="en-GB"/>
        </w:rPr>
        <w:t>Guidance on application of Article 48i transitional provision</w:t>
      </w:r>
    </w:p>
    <w:p w14:paraId="3467E14E" w14:textId="77777777" w:rsidR="000B1560" w:rsidRPr="0085541E" w:rsidRDefault="000B1560" w:rsidP="000B1560">
      <w:pPr>
        <w:pStyle w:val="Body"/>
        <w:rPr>
          <w:rFonts w:asciiTheme="minorHAnsi" w:eastAsia="Calibri" w:hAnsiTheme="minorHAnsi"/>
          <w:kern w:val="0"/>
          <w:sz w:val="22"/>
          <w:lang w:eastAsia="en-GB"/>
        </w:rPr>
      </w:pPr>
      <w:r w:rsidRPr="0085541E">
        <w:rPr>
          <w:rFonts w:asciiTheme="minorHAnsi" w:eastAsia="Calibri" w:hAnsiTheme="minorHAnsi"/>
          <w:kern w:val="0"/>
          <w:sz w:val="22"/>
          <w:lang w:eastAsia="en-GB"/>
        </w:rPr>
        <w:t>In addition, neither the materiality guidance nor the value chain guidance contains any guidance relating to firms which choose to rely on the transitional provision set out in Article 48i of the Accounting Directive (which allows them to prepare a consolidated report for any in-scope EU subsidiaries that sit under a non-EU parent). Given firms can rely on this transitional provision from 2024 until 2030, AFME strongly urges EFRAG to clarify how the materiality and value chain concepts apply to undertakings reporting under Article 48i of the Accounting Directive.</w:t>
      </w:r>
    </w:p>
    <w:p w14:paraId="103B2E9A" w14:textId="77777777" w:rsidR="000B1560" w:rsidRPr="0085541E" w:rsidRDefault="000B1560" w:rsidP="000B1560">
      <w:pPr>
        <w:pStyle w:val="Body"/>
        <w:rPr>
          <w:rFonts w:asciiTheme="majorHAnsi" w:eastAsiaTheme="majorEastAsia" w:hAnsiTheme="majorHAnsi" w:cstheme="majorBidi"/>
          <w:b/>
          <w:color w:val="78A22F" w:themeColor="accent1"/>
          <w:kern w:val="0"/>
          <w:sz w:val="22"/>
          <w:lang w:eastAsia="en-GB"/>
        </w:rPr>
      </w:pPr>
      <w:r w:rsidRPr="0085541E">
        <w:rPr>
          <w:rFonts w:asciiTheme="majorHAnsi" w:eastAsiaTheme="majorEastAsia" w:hAnsiTheme="majorHAnsi" w:cstheme="majorBidi"/>
          <w:b/>
          <w:color w:val="78A22F" w:themeColor="accent1"/>
          <w:kern w:val="0"/>
          <w:sz w:val="22"/>
          <w:lang w:eastAsia="en-GB"/>
        </w:rPr>
        <w:t>Application of materiality assessment at group or entity level</w:t>
      </w:r>
    </w:p>
    <w:p w14:paraId="49778570" w14:textId="77777777" w:rsidR="000B1560" w:rsidRPr="0085541E" w:rsidRDefault="000B1560" w:rsidP="000B1560">
      <w:pPr>
        <w:pStyle w:val="Body"/>
        <w:rPr>
          <w:rFonts w:asciiTheme="minorHAnsi" w:eastAsia="Calibri" w:hAnsiTheme="minorHAnsi"/>
          <w:kern w:val="0"/>
          <w:sz w:val="22"/>
          <w:lang w:eastAsia="en-GB"/>
        </w:rPr>
      </w:pPr>
      <w:r w:rsidRPr="0085541E">
        <w:rPr>
          <w:rFonts w:asciiTheme="minorHAnsi" w:eastAsia="Calibri" w:hAnsiTheme="minorHAnsi"/>
          <w:kern w:val="0"/>
          <w:sz w:val="22"/>
          <w:lang w:eastAsia="en-GB"/>
        </w:rPr>
        <w:t xml:space="preserve">As a related point, in the future an increasing number of firms are likely to publish CSRD reports covering their whole group, instead of reports covering individual entities, as more entities become subject to CSRD. AFME strongly recommends that EFRAG confirms that firms may choose to adopt a group-level approach to conducting a materiality assessment currently (prior to those firms publishing group reports), which can then be utilised by each reporting subsidiary to assess their own business activities for their own reports. This would avoid the possibility of EU subsidiaries within one group utilising different methodologies for the materiality assessment, which would later have to be reconciled at the group </w:t>
      </w:r>
      <w:proofErr w:type="gramStart"/>
      <w:r w:rsidRPr="0085541E">
        <w:rPr>
          <w:rFonts w:asciiTheme="minorHAnsi" w:eastAsia="Calibri" w:hAnsiTheme="minorHAnsi"/>
          <w:kern w:val="0"/>
          <w:sz w:val="22"/>
          <w:lang w:eastAsia="en-GB"/>
        </w:rPr>
        <w:t>level, and</w:t>
      </w:r>
      <w:proofErr w:type="gramEnd"/>
      <w:r w:rsidRPr="0085541E">
        <w:rPr>
          <w:rFonts w:asciiTheme="minorHAnsi" w:eastAsia="Calibri" w:hAnsiTheme="minorHAnsi"/>
          <w:kern w:val="0"/>
          <w:sz w:val="22"/>
          <w:lang w:eastAsia="en-GB"/>
        </w:rPr>
        <w:t xml:space="preserve"> ensure that the materiality assessment is applied consistently for reporting entities within one group.</w:t>
      </w:r>
    </w:p>
    <w:p w14:paraId="129D7CFF" w14:textId="23DD7D03" w:rsidR="001502C1" w:rsidRPr="0085541E" w:rsidRDefault="000B1560" w:rsidP="009B145D">
      <w:pPr>
        <w:pStyle w:val="Heading1"/>
        <w:rPr>
          <w:rFonts w:asciiTheme="majorHAnsi" w:eastAsiaTheme="majorEastAsia" w:hAnsiTheme="majorHAnsi" w:cstheme="majorBidi"/>
          <w:color w:val="78A22F" w:themeColor="accent1"/>
        </w:rPr>
      </w:pPr>
      <w:r w:rsidRPr="0085541E">
        <w:rPr>
          <w:rFonts w:asciiTheme="majorHAnsi" w:eastAsiaTheme="majorEastAsia" w:hAnsiTheme="majorHAnsi" w:cstheme="majorBidi"/>
          <w:color w:val="78A22F" w:themeColor="accent1"/>
        </w:rPr>
        <w:t>About AFME</w:t>
      </w:r>
    </w:p>
    <w:p w14:paraId="0311A898" w14:textId="77777777" w:rsidR="000B1560" w:rsidRPr="00E917F3" w:rsidRDefault="000B1560" w:rsidP="000B1560">
      <w:pPr>
        <w:pStyle w:val="BodyText"/>
      </w:pPr>
      <w:r w:rsidRPr="00E917F3">
        <w:t xml:space="preserve">AFME represents a broad array of European and global participants in the wholesale financial markets. Its members comprise pan-EU and global banks as well as key regional banks, brokers, law firms, </w:t>
      </w:r>
      <w:proofErr w:type="gramStart"/>
      <w:r w:rsidRPr="00E917F3">
        <w:t>investors</w:t>
      </w:r>
      <w:proofErr w:type="gramEnd"/>
      <w:r w:rsidRPr="00E917F3">
        <w:t xml:space="preserve"> and other financial market participants. We advocate stable, competitive, sustainable European financial markets that support economic growth and benefit society.</w:t>
      </w:r>
    </w:p>
    <w:p w14:paraId="07A97A36" w14:textId="77777777" w:rsidR="000B1560" w:rsidRDefault="000B1560" w:rsidP="000B1560">
      <w:pPr>
        <w:pStyle w:val="BodyText"/>
      </w:pPr>
      <w:r w:rsidRPr="00C247F1">
        <w:t>AFME is registered on the EU Transparency Register, registration number 65110063986-76</w:t>
      </w:r>
      <w:r>
        <w:t>.</w:t>
      </w:r>
    </w:p>
    <w:p w14:paraId="2E59509F" w14:textId="77777777" w:rsidR="000B1560" w:rsidRDefault="000B1560" w:rsidP="000B1560">
      <w:pPr>
        <w:pStyle w:val="BodyText"/>
      </w:pPr>
    </w:p>
    <w:p w14:paraId="1DA4AA0F" w14:textId="77777777" w:rsidR="00DC0710" w:rsidRPr="0085541E" w:rsidRDefault="00DC0710" w:rsidP="00242D30">
      <w:pPr>
        <w:pStyle w:val="NormalBold"/>
        <w:rPr>
          <w:rFonts w:asciiTheme="majorHAnsi" w:eastAsiaTheme="majorEastAsia" w:hAnsiTheme="majorHAnsi" w:cstheme="majorBidi"/>
          <w:color w:val="78A22F" w:themeColor="accent1"/>
        </w:rPr>
      </w:pPr>
      <w:r w:rsidRPr="0085541E">
        <w:rPr>
          <w:rFonts w:asciiTheme="majorHAnsi" w:eastAsiaTheme="majorEastAsia" w:hAnsiTheme="majorHAnsi" w:cstheme="majorBidi"/>
          <w:color w:val="78A22F" w:themeColor="accent1"/>
        </w:rPr>
        <w:t>AFME Contacts</w:t>
      </w:r>
    </w:p>
    <w:p w14:paraId="0E64068A" w14:textId="77777777" w:rsidR="0085541E" w:rsidRPr="0085541E" w:rsidRDefault="0085541E" w:rsidP="0085541E"/>
    <w:p w14:paraId="3CA420AE" w14:textId="0B2FD7A6" w:rsidR="0085541E" w:rsidRDefault="0085541E" w:rsidP="00622EC6">
      <w:r>
        <w:t xml:space="preserve">Oliver Moullin, Managing Director, Sustainable Finance and General Counsel: </w:t>
      </w:r>
      <w:hyperlink r:id="rId11" w:history="1">
        <w:r w:rsidRPr="00DF7EE0">
          <w:rPr>
            <w:rStyle w:val="Hyperlink"/>
          </w:rPr>
          <w:t>oliver.moullin@afme.eu</w:t>
        </w:r>
      </w:hyperlink>
    </w:p>
    <w:p w14:paraId="78738976" w14:textId="77777777" w:rsidR="00242D30" w:rsidRDefault="00242D30" w:rsidP="00242D30"/>
    <w:p w14:paraId="7626505B" w14:textId="2A628030" w:rsidR="0085541E" w:rsidRDefault="0085541E" w:rsidP="00242D30">
      <w:r>
        <w:t xml:space="preserve">Rachel Sumption, Manager, Sustainable Finance: </w:t>
      </w:r>
      <w:hyperlink r:id="rId12" w:history="1">
        <w:r w:rsidRPr="00DF7EE0">
          <w:rPr>
            <w:rStyle w:val="Hyperlink"/>
          </w:rPr>
          <w:t>rachel.sumption@afme.eu</w:t>
        </w:r>
      </w:hyperlink>
      <w:r>
        <w:t xml:space="preserve"> </w:t>
      </w:r>
    </w:p>
    <w:p w14:paraId="036D70C7" w14:textId="77777777" w:rsidR="0081386B" w:rsidRDefault="0081386B" w:rsidP="00242D30"/>
    <w:p w14:paraId="188C2DFB" w14:textId="77777777" w:rsidR="007118F0" w:rsidRDefault="007118F0" w:rsidP="008121B5"/>
    <w:p w14:paraId="54CCA5B0" w14:textId="77777777" w:rsidR="007118F0" w:rsidRPr="008121B5" w:rsidRDefault="007118F0" w:rsidP="008121B5"/>
    <w:sectPr w:rsidR="007118F0" w:rsidRPr="008121B5" w:rsidSect="00006AFC">
      <w:footerReference w:type="default" r:id="rId13"/>
      <w:headerReference w:type="first" r:id="rId14"/>
      <w:footerReference w:type="first" r:id="rId15"/>
      <w:pgSz w:w="11906" w:h="16838" w:code="9"/>
      <w:pgMar w:top="2268" w:right="851" w:bottom="1985" w:left="851"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2770F" w14:textId="77777777" w:rsidR="00006AFC" w:rsidRDefault="00006AFC" w:rsidP="00C42475">
      <w:pPr>
        <w:spacing w:line="240" w:lineRule="auto"/>
      </w:pPr>
      <w:r>
        <w:separator/>
      </w:r>
    </w:p>
  </w:endnote>
  <w:endnote w:type="continuationSeparator" w:id="0">
    <w:p w14:paraId="34C5A787" w14:textId="77777777" w:rsidR="00006AFC" w:rsidRDefault="00006AFC" w:rsidP="00C424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8EE8F" w14:textId="77777777" w:rsidR="008564C7" w:rsidRPr="007422DC" w:rsidRDefault="007422DC" w:rsidP="007422DC">
    <w:pPr>
      <w:pStyle w:val="AFMEPagenumber"/>
      <w:rPr>
        <w:noProof/>
      </w:rPr>
    </w:pPr>
    <w:r w:rsidRPr="00D73F02">
      <w:rPr>
        <w:noProof/>
      </w:rPr>
      <w:drawing>
        <wp:anchor distT="0" distB="0" distL="114300" distR="114300" simplePos="0" relativeHeight="251660288" behindDoc="0" locked="0" layoutInCell="1" allowOverlap="1" wp14:anchorId="008544EE" wp14:editId="13B20C3F">
          <wp:simplePos x="0" y="0"/>
          <wp:positionH relativeFrom="page">
            <wp:posOffset>6732905</wp:posOffset>
          </wp:positionH>
          <wp:positionV relativeFrom="page">
            <wp:posOffset>10009505</wp:posOffset>
          </wp:positionV>
          <wp:extent cx="101880" cy="1440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ME_rgb_slas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880" cy="14400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sidR="00911A73">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3FD35" w14:textId="77777777" w:rsidR="007D69DF" w:rsidRPr="007D69DF" w:rsidRDefault="007D69DF" w:rsidP="007F2BA5">
    <w:pPr>
      <w:pStyle w:val="FooterHeading"/>
      <w:rPr>
        <w:b w:val="0"/>
      </w:rPr>
    </w:pPr>
    <w:r w:rsidRPr="007D69DF">
      <w:t>Association for Financial Markets in Europe</w:t>
    </w:r>
  </w:p>
  <w:p w14:paraId="0B95C1F5" w14:textId="77777777" w:rsidR="007D69DF" w:rsidRPr="00965EF7" w:rsidRDefault="007D69DF" w:rsidP="005935F7">
    <w:pPr>
      <w:pStyle w:val="FooterOffices"/>
    </w:pPr>
    <w:r w:rsidRPr="00C143AE">
      <w:rPr>
        <w:rFonts w:asciiTheme="majorHAnsi" w:hAnsiTheme="majorHAnsi" w:cstheme="majorHAnsi"/>
        <w:b/>
        <w:color w:val="808285" w:themeColor="accent5"/>
      </w:rPr>
      <w:t>London Office:</w:t>
    </w:r>
    <w:r w:rsidR="00474648" w:rsidRPr="00C143AE">
      <w:rPr>
        <w:rFonts w:asciiTheme="majorHAnsi" w:hAnsiTheme="majorHAnsi" w:cstheme="majorHAnsi"/>
      </w:rPr>
      <w:t xml:space="preserve"> </w:t>
    </w:r>
    <w:r w:rsidR="009E188A">
      <w:rPr>
        <w:rFonts w:asciiTheme="majorHAnsi" w:hAnsiTheme="majorHAnsi" w:cstheme="majorHAnsi"/>
      </w:rPr>
      <w:tab/>
    </w:r>
    <w:r w:rsidR="00B3364E" w:rsidRPr="00B3364E">
      <w:rPr>
        <w:rFonts w:cstheme="majorHAnsi"/>
      </w:rPr>
      <w:t>Level 10,</w:t>
    </w:r>
    <w:r w:rsidR="00B3364E">
      <w:rPr>
        <w:rFonts w:asciiTheme="majorHAnsi" w:hAnsiTheme="majorHAnsi" w:cstheme="majorHAnsi"/>
      </w:rPr>
      <w:t xml:space="preserve"> </w:t>
    </w:r>
    <w:r w:rsidR="001D32D8" w:rsidRPr="001D32D8">
      <w:t>20 Churchill Place, London E14 5</w:t>
    </w:r>
    <w:r w:rsidR="000C5FE3">
      <w:t>HJ</w:t>
    </w:r>
    <w:r w:rsidR="00474648">
      <w:t>, United Kingdom</w:t>
    </w:r>
    <w:r w:rsidR="0072211A">
      <w:t xml:space="preserve"> </w:t>
    </w:r>
    <w:r w:rsidR="00474648">
      <w:t xml:space="preserve"> T: +44 (0)20 3828 2700</w:t>
    </w:r>
  </w:p>
  <w:p w14:paraId="0B3E9678" w14:textId="32F538C8" w:rsidR="00C03D6B" w:rsidRPr="00462FDC" w:rsidRDefault="00C03D6B" w:rsidP="00C03D6B">
    <w:pPr>
      <w:pStyle w:val="FooterOffices"/>
      <w:rPr>
        <w:lang w:val="fr-FR"/>
      </w:rPr>
    </w:pPr>
    <w:r w:rsidRPr="00462FDC">
      <w:rPr>
        <w:rFonts w:asciiTheme="majorHAnsi" w:hAnsiTheme="majorHAnsi" w:cstheme="majorHAnsi"/>
        <w:b/>
        <w:color w:val="808285" w:themeColor="accent5"/>
        <w:lang w:val="fr-FR"/>
      </w:rPr>
      <w:t xml:space="preserve">Brussels </w:t>
    </w:r>
    <w:proofErr w:type="gramStart"/>
    <w:r w:rsidRPr="00462FDC">
      <w:rPr>
        <w:rFonts w:asciiTheme="majorHAnsi" w:hAnsiTheme="majorHAnsi" w:cstheme="majorHAnsi"/>
        <w:b/>
        <w:color w:val="808285" w:themeColor="accent5"/>
        <w:lang w:val="fr-FR"/>
      </w:rPr>
      <w:t>Office:</w:t>
    </w:r>
    <w:proofErr w:type="gramEnd"/>
    <w:r w:rsidRPr="00462FDC">
      <w:rPr>
        <w:rFonts w:asciiTheme="majorHAnsi" w:hAnsiTheme="majorHAnsi" w:cstheme="majorHAnsi"/>
        <w:lang w:val="fr-FR"/>
      </w:rPr>
      <w:t xml:space="preserve"> </w:t>
    </w:r>
    <w:r w:rsidRPr="00462FDC">
      <w:rPr>
        <w:rFonts w:asciiTheme="majorHAnsi" w:hAnsiTheme="majorHAnsi" w:cstheme="majorHAnsi"/>
        <w:lang w:val="fr-FR"/>
      </w:rPr>
      <w:tab/>
    </w:r>
    <w:r w:rsidRPr="00462FDC">
      <w:rPr>
        <w:lang w:val="fr-FR"/>
      </w:rPr>
      <w:t>Rue de la Loi 82, 1040 Brussels, Belgium</w:t>
    </w:r>
    <w:r w:rsidR="003D592E">
      <w:rPr>
        <w:lang w:val="fr-FR"/>
      </w:rPr>
      <w:t xml:space="preserve"> </w:t>
    </w:r>
    <w:r w:rsidRPr="00462FDC">
      <w:rPr>
        <w:lang w:val="fr-FR"/>
      </w:rPr>
      <w:t xml:space="preserve">T: +32 (0)2 </w:t>
    </w:r>
    <w:r w:rsidRPr="0037510E">
      <w:rPr>
        <w:lang w:val="fr-FR"/>
      </w:rPr>
      <w:t>883</w:t>
    </w:r>
    <w:r>
      <w:rPr>
        <w:lang w:val="fr-FR"/>
      </w:rPr>
      <w:t xml:space="preserve"> </w:t>
    </w:r>
    <w:r w:rsidRPr="0037510E">
      <w:rPr>
        <w:lang w:val="fr-FR"/>
      </w:rPr>
      <w:t>5540</w:t>
    </w:r>
    <w:r w:rsidRPr="00462FDC">
      <w:rPr>
        <w:lang w:val="fr-FR"/>
      </w:rPr>
      <w:t xml:space="preserve"> </w:t>
    </w:r>
  </w:p>
  <w:p w14:paraId="7B1F317D" w14:textId="33F1E7B3" w:rsidR="003B15C6" w:rsidRPr="00642CC0" w:rsidRDefault="00C03D6B" w:rsidP="00C03D6B">
    <w:pPr>
      <w:pStyle w:val="FooterOffices"/>
      <w:rPr>
        <w:lang w:val="de-DE"/>
      </w:rPr>
    </w:pPr>
    <w:r w:rsidRPr="00462FDC">
      <w:rPr>
        <w:rFonts w:asciiTheme="majorHAnsi" w:hAnsiTheme="majorHAnsi" w:cstheme="majorHAnsi"/>
        <w:b/>
        <w:color w:val="808285" w:themeColor="accent5"/>
        <w:lang w:val="de-DE"/>
      </w:rPr>
      <w:t>Frankfurt Office:</w:t>
    </w:r>
    <w:r w:rsidRPr="00462FDC">
      <w:rPr>
        <w:lang w:val="de-DE"/>
      </w:rPr>
      <w:t xml:space="preserve"> Neue Mainzer Straße 75, 60311 Frankfurt am Main</w:t>
    </w:r>
    <w:r w:rsidR="003D592E">
      <w:rPr>
        <w:lang w:val="de-DE"/>
      </w:rPr>
      <w:t>, Germany</w:t>
    </w:r>
    <w:r w:rsidRPr="00462FDC">
      <w:rPr>
        <w:lang w:val="de-DE"/>
      </w:rPr>
      <w:t xml:space="preserve"> T:+ 49 (0)69 </w:t>
    </w:r>
    <w:r w:rsidRPr="0037510E">
      <w:rPr>
        <w:lang w:val="de-DE"/>
      </w:rPr>
      <w:t>710</w:t>
    </w:r>
    <w:r>
      <w:rPr>
        <w:lang w:val="de-DE"/>
      </w:rPr>
      <w:t xml:space="preserve"> </w:t>
    </w:r>
    <w:r w:rsidRPr="0037510E">
      <w:rPr>
        <w:lang w:val="de-DE"/>
      </w:rPr>
      <w:t>456</w:t>
    </w:r>
    <w:r>
      <w:rPr>
        <w:lang w:val="de-DE"/>
      </w:rPr>
      <w:t xml:space="preserve"> </w:t>
    </w:r>
    <w:r w:rsidRPr="0037510E">
      <w:rPr>
        <w:lang w:val="de-DE"/>
      </w:rPr>
      <w:t>660</w:t>
    </w:r>
  </w:p>
  <w:p w14:paraId="76BA7594" w14:textId="77777777" w:rsidR="00474648" w:rsidRPr="00541E1B" w:rsidRDefault="00C143AE" w:rsidP="00C143AE">
    <w:pPr>
      <w:pStyle w:val="FooterHeading"/>
      <w:rPr>
        <w:lang w:val="de-DE"/>
      </w:rPr>
    </w:pPr>
    <w:r w:rsidRPr="00541E1B">
      <w:rPr>
        <w:lang w:val="de-DE"/>
      </w:rPr>
      <w:t>www.afme.eu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59423" w14:textId="77777777" w:rsidR="00006AFC" w:rsidRPr="00FB1672" w:rsidRDefault="00006AFC" w:rsidP="00C42475">
      <w:pPr>
        <w:spacing w:line="240" w:lineRule="auto"/>
        <w:rPr>
          <w:color w:val="78A22F" w:themeColor="accent1"/>
        </w:rPr>
      </w:pPr>
      <w:r w:rsidRPr="00FB1672">
        <w:rPr>
          <w:color w:val="78A22F" w:themeColor="accent1"/>
        </w:rPr>
        <w:separator/>
      </w:r>
    </w:p>
  </w:footnote>
  <w:footnote w:type="continuationSeparator" w:id="0">
    <w:p w14:paraId="1F1FB032" w14:textId="77777777" w:rsidR="00006AFC" w:rsidRDefault="00006AFC" w:rsidP="00C42475">
      <w:pPr>
        <w:spacing w:line="240" w:lineRule="auto"/>
      </w:pPr>
      <w:r>
        <w:continuationSeparator/>
      </w:r>
    </w:p>
  </w:footnote>
  <w:footnote w:id="1">
    <w:p w14:paraId="48FE1B55" w14:textId="510434AB" w:rsidR="000B1560" w:rsidRPr="000B1560" w:rsidRDefault="000B1560">
      <w:pPr>
        <w:pStyle w:val="FootnoteText"/>
        <w:rPr>
          <w:lang w:val="en-US"/>
        </w:rPr>
      </w:pPr>
      <w:r>
        <w:rPr>
          <w:rStyle w:val="FootnoteReference"/>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45536" w14:textId="77777777" w:rsidR="00F93E16" w:rsidRDefault="0072211A" w:rsidP="007422DC">
    <w:pPr>
      <w:pStyle w:val="AFMEFullName"/>
    </w:pPr>
    <w:r>
      <w:drawing>
        <wp:anchor distT="0" distB="0" distL="114300" distR="114300" simplePos="0" relativeHeight="251656192" behindDoc="0" locked="0" layoutInCell="1" allowOverlap="1" wp14:anchorId="308C7FB1" wp14:editId="190B6E20">
          <wp:simplePos x="0" y="0"/>
          <wp:positionH relativeFrom="margin">
            <wp:align>left</wp:align>
          </wp:positionH>
          <wp:positionV relativeFrom="page">
            <wp:posOffset>540385</wp:posOffset>
          </wp:positionV>
          <wp:extent cx="1439545" cy="56324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ME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640" cy="563787"/>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422DC" w:rsidRPr="00BA7875">
      <w:t>Association for Financial Markets in Europe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A6647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71218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33E632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32ED7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D369D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4252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32D35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C6E7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94CD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072E7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A05EC2"/>
    <w:multiLevelType w:val="multilevel"/>
    <w:tmpl w:val="023E8784"/>
    <w:numStyleLink w:val="AFMEBullets"/>
  </w:abstractNum>
  <w:abstractNum w:abstractNumId="11" w15:restartNumberingAfterBreak="0">
    <w:nsid w:val="0C5F4AC6"/>
    <w:multiLevelType w:val="multilevel"/>
    <w:tmpl w:val="1778BEA0"/>
    <w:numStyleLink w:val="AFMENumbering"/>
  </w:abstractNum>
  <w:abstractNum w:abstractNumId="12" w15:restartNumberingAfterBreak="0">
    <w:nsid w:val="0FEE5FAB"/>
    <w:multiLevelType w:val="multilevel"/>
    <w:tmpl w:val="1778BEA0"/>
    <w:numStyleLink w:val="AFMENumbering"/>
  </w:abstractNum>
  <w:abstractNum w:abstractNumId="13" w15:restartNumberingAfterBreak="0">
    <w:nsid w:val="12DA6896"/>
    <w:multiLevelType w:val="multilevel"/>
    <w:tmpl w:val="1778BEA0"/>
    <w:numStyleLink w:val="AFMENumbering"/>
  </w:abstractNum>
  <w:abstractNum w:abstractNumId="14" w15:restartNumberingAfterBreak="0">
    <w:nsid w:val="132C3446"/>
    <w:multiLevelType w:val="multilevel"/>
    <w:tmpl w:val="023E8784"/>
    <w:numStyleLink w:val="AFMEBullets"/>
  </w:abstractNum>
  <w:abstractNum w:abstractNumId="15" w15:restartNumberingAfterBreak="0">
    <w:nsid w:val="16266349"/>
    <w:multiLevelType w:val="multilevel"/>
    <w:tmpl w:val="1778BEA0"/>
    <w:numStyleLink w:val="AFMENumbering"/>
  </w:abstractNum>
  <w:abstractNum w:abstractNumId="16" w15:restartNumberingAfterBreak="0">
    <w:nsid w:val="17693B0A"/>
    <w:multiLevelType w:val="multilevel"/>
    <w:tmpl w:val="1778BEA0"/>
    <w:numStyleLink w:val="AFMENumbering"/>
  </w:abstractNum>
  <w:abstractNum w:abstractNumId="17" w15:restartNumberingAfterBreak="0">
    <w:nsid w:val="17D210B9"/>
    <w:multiLevelType w:val="multilevel"/>
    <w:tmpl w:val="023E8784"/>
    <w:styleLink w:val="AFMEBullets"/>
    <w:lvl w:ilvl="0">
      <w:start w:val="1"/>
      <w:numFmt w:val="bullet"/>
      <w:pStyle w:val="Bullets1"/>
      <w:lvlText w:val=""/>
      <w:lvlJc w:val="left"/>
      <w:pPr>
        <w:tabs>
          <w:tab w:val="num" w:pos="284"/>
        </w:tabs>
        <w:ind w:left="284" w:hanging="284"/>
      </w:pPr>
      <w:rPr>
        <w:rFonts w:ascii="Symbol" w:hAnsi="Symbol" w:hint="default"/>
        <w:color w:val="78A22F" w:themeColor="accent1"/>
      </w:rPr>
    </w:lvl>
    <w:lvl w:ilvl="1">
      <w:start w:val="1"/>
      <w:numFmt w:val="bullet"/>
      <w:pStyle w:val="Bullets2"/>
      <w:lvlText w:val=""/>
      <w:lvlJc w:val="left"/>
      <w:pPr>
        <w:tabs>
          <w:tab w:val="num" w:pos="567"/>
        </w:tabs>
        <w:ind w:left="567" w:hanging="283"/>
      </w:pPr>
      <w:rPr>
        <w:rFonts w:ascii="Symbol" w:hAnsi="Symbol" w:hint="default"/>
        <w:color w:val="58595B" w:themeColor="accent6"/>
      </w:rPr>
    </w:lvl>
    <w:lvl w:ilvl="2">
      <w:start w:val="1"/>
      <w:numFmt w:val="bullet"/>
      <w:pStyle w:val="Bullets3"/>
      <w:lvlText w:val=""/>
      <w:lvlJc w:val="left"/>
      <w:pPr>
        <w:tabs>
          <w:tab w:val="num" w:pos="851"/>
        </w:tabs>
        <w:ind w:left="851" w:hanging="284"/>
      </w:pPr>
      <w:rPr>
        <w:rFonts w:ascii="Symbol" w:hAnsi="Symbol" w:hint="default"/>
        <w:color w:val="C9DAAC" w:themeColor="accent2"/>
      </w:rPr>
    </w:lvl>
    <w:lvl w:ilvl="3">
      <w:start w:val="1"/>
      <w:numFmt w:val="bullet"/>
      <w:lvlText w:val=""/>
      <w:lvlJc w:val="left"/>
      <w:pPr>
        <w:tabs>
          <w:tab w:val="num" w:pos="1134"/>
        </w:tabs>
        <w:ind w:left="1134" w:hanging="283"/>
      </w:pPr>
      <w:rPr>
        <w:rFonts w:ascii="Symbol" w:hAnsi="Symbol" w:hint="default"/>
        <w:color w:val="CFD0D2" w:themeColor="accent3"/>
      </w:rPr>
    </w:lvl>
    <w:lvl w:ilvl="4">
      <w:start w:val="1"/>
      <w:numFmt w:val="bullet"/>
      <w:lvlText w:val=""/>
      <w:lvlJc w:val="left"/>
      <w:pPr>
        <w:tabs>
          <w:tab w:val="num" w:pos="1418"/>
        </w:tabs>
        <w:ind w:left="1418" w:hanging="284"/>
      </w:pPr>
      <w:rPr>
        <w:rFonts w:ascii="Symbol" w:hAnsi="Symbol" w:hint="default"/>
        <w:color w:val="808285" w:themeColor="accent5"/>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B53927"/>
    <w:multiLevelType w:val="multilevel"/>
    <w:tmpl w:val="023E8784"/>
    <w:numStyleLink w:val="AFMEBullets"/>
  </w:abstractNum>
  <w:abstractNum w:abstractNumId="19" w15:restartNumberingAfterBreak="0">
    <w:nsid w:val="1F1A7159"/>
    <w:multiLevelType w:val="multilevel"/>
    <w:tmpl w:val="58ECE7A0"/>
    <w:lvl w:ilvl="0">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34265AF"/>
    <w:multiLevelType w:val="multilevel"/>
    <w:tmpl w:val="023E8784"/>
    <w:numStyleLink w:val="AFMEBullets"/>
  </w:abstractNum>
  <w:abstractNum w:abstractNumId="21" w15:restartNumberingAfterBreak="0">
    <w:nsid w:val="2A163E85"/>
    <w:multiLevelType w:val="multilevel"/>
    <w:tmpl w:val="023E8784"/>
    <w:numStyleLink w:val="AFMEBullets"/>
  </w:abstractNum>
  <w:abstractNum w:abstractNumId="22" w15:restartNumberingAfterBreak="0">
    <w:nsid w:val="318D227F"/>
    <w:multiLevelType w:val="multilevel"/>
    <w:tmpl w:val="1778BEA0"/>
    <w:styleLink w:val="AFMENumbering"/>
    <w:lvl w:ilvl="0">
      <w:start w:val="1"/>
      <w:numFmt w:val="none"/>
      <w:pStyle w:val="TOCHeading"/>
      <w:suff w:val="nothing"/>
      <w:lvlText w:val=""/>
      <w:lvlJc w:val="left"/>
      <w:pPr>
        <w:ind w:left="0" w:firstLine="0"/>
      </w:pPr>
      <w:rPr>
        <w:rFonts w:hint="default"/>
      </w:rPr>
    </w:lvl>
    <w:lvl w:ilvl="1">
      <w:start w:val="1"/>
      <w:numFmt w:val="decimal"/>
      <w:lvlRestart w:val="0"/>
      <w:pStyle w:val="Level1"/>
      <w:lvlText w:val="%2"/>
      <w:lvlJc w:val="left"/>
      <w:pPr>
        <w:tabs>
          <w:tab w:val="num" w:pos="567"/>
        </w:tabs>
        <w:ind w:left="567" w:hanging="567"/>
      </w:pPr>
      <w:rPr>
        <w:rFonts w:hint="default"/>
      </w:rPr>
    </w:lvl>
    <w:lvl w:ilvl="2">
      <w:start w:val="1"/>
      <w:numFmt w:val="decimal"/>
      <w:pStyle w:val="Level2"/>
      <w:lvlText w:val="%2.%3"/>
      <w:lvlJc w:val="left"/>
      <w:pPr>
        <w:tabs>
          <w:tab w:val="num" w:pos="567"/>
        </w:tabs>
        <w:ind w:left="567" w:hanging="567"/>
      </w:pPr>
      <w:rPr>
        <w:rFonts w:hint="default"/>
      </w:rPr>
    </w:lvl>
    <w:lvl w:ilvl="3">
      <w:start w:val="1"/>
      <w:numFmt w:val="lowerLetter"/>
      <w:pStyle w:val="Level3"/>
      <w:lvlText w:val="%4)"/>
      <w:lvlJc w:val="left"/>
      <w:pPr>
        <w:tabs>
          <w:tab w:val="num" w:pos="567"/>
        </w:tabs>
        <w:ind w:left="567" w:hanging="567"/>
      </w:pPr>
      <w:rPr>
        <w:rFonts w:hint="default"/>
      </w:rPr>
    </w:lvl>
    <w:lvl w:ilvl="4">
      <w:start w:val="1"/>
      <w:numFmt w:val="lowerRoman"/>
      <w:pStyle w:val="Level4"/>
      <w:lvlText w:val="%5."/>
      <w:lvlJc w:val="left"/>
      <w:pPr>
        <w:tabs>
          <w:tab w:val="num" w:pos="567"/>
        </w:tabs>
        <w:ind w:left="567" w:hanging="567"/>
      </w:pPr>
      <w:rPr>
        <w:rFonts w:hint="default"/>
      </w:rPr>
    </w:lvl>
    <w:lvl w:ilvl="5">
      <w:start w:val="1"/>
      <w:numFmt w:val="lowerLetter"/>
      <w:pStyle w:val="Level5"/>
      <w:lvlText w:val="%6."/>
      <w:lvlJc w:val="left"/>
      <w:pPr>
        <w:ind w:left="567" w:hanging="56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66C1CEA"/>
    <w:multiLevelType w:val="multilevel"/>
    <w:tmpl w:val="023E8784"/>
    <w:numStyleLink w:val="AFMEBullets"/>
  </w:abstractNum>
  <w:abstractNum w:abstractNumId="24" w15:restartNumberingAfterBreak="0">
    <w:nsid w:val="42FE4009"/>
    <w:multiLevelType w:val="multilevel"/>
    <w:tmpl w:val="1778BEA0"/>
    <w:numStyleLink w:val="AFMENumbering"/>
  </w:abstractNum>
  <w:abstractNum w:abstractNumId="25" w15:restartNumberingAfterBreak="0">
    <w:nsid w:val="44717625"/>
    <w:multiLevelType w:val="multilevel"/>
    <w:tmpl w:val="023E8784"/>
    <w:numStyleLink w:val="AFMEBullets"/>
  </w:abstractNum>
  <w:abstractNum w:abstractNumId="26" w15:restartNumberingAfterBreak="0">
    <w:nsid w:val="49395779"/>
    <w:multiLevelType w:val="multilevel"/>
    <w:tmpl w:val="023E8784"/>
    <w:numStyleLink w:val="AFMEBullets"/>
  </w:abstractNum>
  <w:abstractNum w:abstractNumId="27" w15:restartNumberingAfterBreak="0">
    <w:nsid w:val="49E51675"/>
    <w:multiLevelType w:val="multilevel"/>
    <w:tmpl w:val="1778BEA0"/>
    <w:numStyleLink w:val="AFMENumbering"/>
  </w:abstractNum>
  <w:abstractNum w:abstractNumId="28" w15:restartNumberingAfterBreak="0">
    <w:nsid w:val="52A96848"/>
    <w:multiLevelType w:val="hybridMultilevel"/>
    <w:tmpl w:val="2CAC0F14"/>
    <w:lvl w:ilvl="0" w:tplc="AD9022F8">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6B81AB1"/>
    <w:multiLevelType w:val="multilevel"/>
    <w:tmpl w:val="1778BEA0"/>
    <w:numStyleLink w:val="AFMENumbering"/>
  </w:abstractNum>
  <w:abstractNum w:abstractNumId="30" w15:restartNumberingAfterBreak="0">
    <w:nsid w:val="5A716DA1"/>
    <w:multiLevelType w:val="hybridMultilevel"/>
    <w:tmpl w:val="B69AA3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EFC037C8">
      <w:start w:val="1"/>
      <w:numFmt w:val="decimal"/>
      <w:lvlText w:val="%4."/>
      <w:lvlJc w:val="left"/>
      <w:pPr>
        <w:ind w:left="567" w:hanging="567"/>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E8011C1"/>
    <w:multiLevelType w:val="multilevel"/>
    <w:tmpl w:val="1778BEA0"/>
    <w:numStyleLink w:val="AFMENumbering"/>
  </w:abstractNum>
  <w:abstractNum w:abstractNumId="32" w15:restartNumberingAfterBreak="0">
    <w:nsid w:val="632C5647"/>
    <w:multiLevelType w:val="multilevel"/>
    <w:tmpl w:val="023E8784"/>
    <w:numStyleLink w:val="AFMEBullets"/>
  </w:abstractNum>
  <w:abstractNum w:abstractNumId="33" w15:restartNumberingAfterBreak="0">
    <w:nsid w:val="6C7F1FC3"/>
    <w:multiLevelType w:val="multilevel"/>
    <w:tmpl w:val="1778BEA0"/>
    <w:numStyleLink w:val="AFMENumbering"/>
  </w:abstractNum>
  <w:abstractNum w:abstractNumId="34" w15:restartNumberingAfterBreak="0">
    <w:nsid w:val="71D96204"/>
    <w:multiLevelType w:val="multilevel"/>
    <w:tmpl w:val="1778BEA0"/>
    <w:numStyleLink w:val="AFMENumbering"/>
  </w:abstractNum>
  <w:abstractNum w:abstractNumId="35" w15:restartNumberingAfterBreak="0">
    <w:nsid w:val="7B245A87"/>
    <w:multiLevelType w:val="multilevel"/>
    <w:tmpl w:val="7254854C"/>
    <w:styleLink w:val="Sources"/>
    <w:lvl w:ilvl="0">
      <w:start w:val="1"/>
      <w:numFmt w:val="none"/>
      <w:pStyle w:val="Source"/>
      <w:suff w:val="space"/>
      <w:lvlText w:val="Source:"/>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81636000">
    <w:abstractNumId w:val="22"/>
  </w:num>
  <w:num w:numId="2" w16cid:durableId="1445416972">
    <w:abstractNumId w:val="24"/>
  </w:num>
  <w:num w:numId="3" w16cid:durableId="1443454319">
    <w:abstractNumId w:val="12"/>
  </w:num>
  <w:num w:numId="4" w16cid:durableId="1571034721">
    <w:abstractNumId w:val="33"/>
  </w:num>
  <w:num w:numId="5" w16cid:durableId="2027362124">
    <w:abstractNumId w:val="27"/>
  </w:num>
  <w:num w:numId="6" w16cid:durableId="1805387485">
    <w:abstractNumId w:val="17"/>
  </w:num>
  <w:num w:numId="7" w16cid:durableId="2089686403">
    <w:abstractNumId w:val="25"/>
  </w:num>
  <w:num w:numId="8" w16cid:durableId="1476333645">
    <w:abstractNumId w:val="26"/>
  </w:num>
  <w:num w:numId="9" w16cid:durableId="1806316027">
    <w:abstractNumId w:val="19"/>
  </w:num>
  <w:num w:numId="10" w16cid:durableId="941179890">
    <w:abstractNumId w:val="18"/>
  </w:num>
  <w:num w:numId="11" w16cid:durableId="479539683">
    <w:abstractNumId w:val="15"/>
  </w:num>
  <w:num w:numId="12" w16cid:durableId="519777484">
    <w:abstractNumId w:val="9"/>
  </w:num>
  <w:num w:numId="13" w16cid:durableId="1043556833">
    <w:abstractNumId w:val="7"/>
  </w:num>
  <w:num w:numId="14" w16cid:durableId="1578322499">
    <w:abstractNumId w:val="6"/>
  </w:num>
  <w:num w:numId="15" w16cid:durableId="1654917949">
    <w:abstractNumId w:val="5"/>
  </w:num>
  <w:num w:numId="16" w16cid:durableId="1098253415">
    <w:abstractNumId w:val="4"/>
  </w:num>
  <w:num w:numId="17" w16cid:durableId="910114894">
    <w:abstractNumId w:val="8"/>
  </w:num>
  <w:num w:numId="18" w16cid:durableId="655063119">
    <w:abstractNumId w:val="3"/>
  </w:num>
  <w:num w:numId="19" w16cid:durableId="1848790182">
    <w:abstractNumId w:val="2"/>
  </w:num>
  <w:num w:numId="20" w16cid:durableId="1661543297">
    <w:abstractNumId w:val="1"/>
  </w:num>
  <w:num w:numId="21" w16cid:durableId="1796369870">
    <w:abstractNumId w:val="0"/>
  </w:num>
  <w:num w:numId="22" w16cid:durableId="158271134">
    <w:abstractNumId w:val="35"/>
  </w:num>
  <w:num w:numId="23" w16cid:durableId="1848907274">
    <w:abstractNumId w:val="34"/>
  </w:num>
  <w:num w:numId="24" w16cid:durableId="301665782">
    <w:abstractNumId w:val="21"/>
  </w:num>
  <w:num w:numId="25" w16cid:durableId="1854344867">
    <w:abstractNumId w:val="14"/>
  </w:num>
  <w:num w:numId="26" w16cid:durableId="1234393905">
    <w:abstractNumId w:val="10"/>
  </w:num>
  <w:num w:numId="27" w16cid:durableId="1143693843">
    <w:abstractNumId w:val="32"/>
  </w:num>
  <w:num w:numId="28" w16cid:durableId="411004309">
    <w:abstractNumId w:val="20"/>
  </w:num>
  <w:num w:numId="29" w16cid:durableId="224724895">
    <w:abstractNumId w:val="31"/>
  </w:num>
  <w:num w:numId="30" w16cid:durableId="927538559">
    <w:abstractNumId w:val="13"/>
  </w:num>
  <w:num w:numId="31" w16cid:durableId="1454637616">
    <w:abstractNumId w:val="11"/>
  </w:num>
  <w:num w:numId="32" w16cid:durableId="1266233850">
    <w:abstractNumId w:val="16"/>
  </w:num>
  <w:num w:numId="33" w16cid:durableId="1240021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82111077">
    <w:abstractNumId w:val="29"/>
  </w:num>
  <w:num w:numId="35" w16cid:durableId="29844737">
    <w:abstractNumId w:val="28"/>
  </w:num>
  <w:num w:numId="36" w16cid:durableId="1670020196">
    <w:abstractNumId w:val="23"/>
  </w:num>
  <w:num w:numId="37" w16cid:durableId="129047967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xsjS2tDAytjC2NDJQ0lEKTi0uzszPAykwrQUAcgGySiwAAAA="/>
  </w:docVars>
  <w:rsids>
    <w:rsidRoot w:val="003D592E"/>
    <w:rsid w:val="000042A9"/>
    <w:rsid w:val="00006AFC"/>
    <w:rsid w:val="000200E8"/>
    <w:rsid w:val="00021379"/>
    <w:rsid w:val="000557D0"/>
    <w:rsid w:val="00081B2A"/>
    <w:rsid w:val="000924F1"/>
    <w:rsid w:val="00092B1A"/>
    <w:rsid w:val="00093CA5"/>
    <w:rsid w:val="00093CE7"/>
    <w:rsid w:val="0009491F"/>
    <w:rsid w:val="0009515A"/>
    <w:rsid w:val="00096486"/>
    <w:rsid w:val="00097266"/>
    <w:rsid w:val="000A7EE6"/>
    <w:rsid w:val="000B1560"/>
    <w:rsid w:val="000C380A"/>
    <w:rsid w:val="000C5FE3"/>
    <w:rsid w:val="000D52FE"/>
    <w:rsid w:val="000D63F1"/>
    <w:rsid w:val="000D7561"/>
    <w:rsid w:val="000E086F"/>
    <w:rsid w:val="000F6737"/>
    <w:rsid w:val="000F7DBB"/>
    <w:rsid w:val="001052FF"/>
    <w:rsid w:val="00110178"/>
    <w:rsid w:val="001175C6"/>
    <w:rsid w:val="00124D4C"/>
    <w:rsid w:val="0013202B"/>
    <w:rsid w:val="001347DA"/>
    <w:rsid w:val="0014486A"/>
    <w:rsid w:val="00146014"/>
    <w:rsid w:val="001502C1"/>
    <w:rsid w:val="00153470"/>
    <w:rsid w:val="00187D34"/>
    <w:rsid w:val="00191FC0"/>
    <w:rsid w:val="001A4258"/>
    <w:rsid w:val="001B0434"/>
    <w:rsid w:val="001B4416"/>
    <w:rsid w:val="001C5CA7"/>
    <w:rsid w:val="001D08E3"/>
    <w:rsid w:val="001D32D8"/>
    <w:rsid w:val="001D7E1E"/>
    <w:rsid w:val="001E2604"/>
    <w:rsid w:val="002114F6"/>
    <w:rsid w:val="00217665"/>
    <w:rsid w:val="00233EF8"/>
    <w:rsid w:val="00236430"/>
    <w:rsid w:val="00242D30"/>
    <w:rsid w:val="0026244A"/>
    <w:rsid w:val="00262710"/>
    <w:rsid w:val="0026352C"/>
    <w:rsid w:val="002660E9"/>
    <w:rsid w:val="002735A4"/>
    <w:rsid w:val="00273846"/>
    <w:rsid w:val="00277BBE"/>
    <w:rsid w:val="00282272"/>
    <w:rsid w:val="002844ED"/>
    <w:rsid w:val="00285EED"/>
    <w:rsid w:val="00286953"/>
    <w:rsid w:val="00295499"/>
    <w:rsid w:val="00297752"/>
    <w:rsid w:val="002A11C1"/>
    <w:rsid w:val="002A3069"/>
    <w:rsid w:val="002A3E78"/>
    <w:rsid w:val="002A4F9C"/>
    <w:rsid w:val="002A5285"/>
    <w:rsid w:val="002A6AAB"/>
    <w:rsid w:val="002C74AD"/>
    <w:rsid w:val="002D19A8"/>
    <w:rsid w:val="002D7AF3"/>
    <w:rsid w:val="00301C0A"/>
    <w:rsid w:val="00302D9D"/>
    <w:rsid w:val="00304D57"/>
    <w:rsid w:val="00316820"/>
    <w:rsid w:val="003227A2"/>
    <w:rsid w:val="00326D33"/>
    <w:rsid w:val="00331058"/>
    <w:rsid w:val="0033522B"/>
    <w:rsid w:val="00340618"/>
    <w:rsid w:val="00341E95"/>
    <w:rsid w:val="003433CB"/>
    <w:rsid w:val="00352CB7"/>
    <w:rsid w:val="00353215"/>
    <w:rsid w:val="003618DD"/>
    <w:rsid w:val="00365D44"/>
    <w:rsid w:val="00372139"/>
    <w:rsid w:val="00373853"/>
    <w:rsid w:val="0038315E"/>
    <w:rsid w:val="003861E8"/>
    <w:rsid w:val="003869CC"/>
    <w:rsid w:val="00394D9E"/>
    <w:rsid w:val="003A5290"/>
    <w:rsid w:val="003B15C6"/>
    <w:rsid w:val="003B4390"/>
    <w:rsid w:val="003B4A16"/>
    <w:rsid w:val="003B5A9B"/>
    <w:rsid w:val="003C01F6"/>
    <w:rsid w:val="003C77F2"/>
    <w:rsid w:val="003D2374"/>
    <w:rsid w:val="003D3804"/>
    <w:rsid w:val="003D592E"/>
    <w:rsid w:val="003E327F"/>
    <w:rsid w:val="003E411D"/>
    <w:rsid w:val="003E6654"/>
    <w:rsid w:val="003F1F9B"/>
    <w:rsid w:val="00416FC6"/>
    <w:rsid w:val="00421D98"/>
    <w:rsid w:val="0044490B"/>
    <w:rsid w:val="00444D80"/>
    <w:rsid w:val="00446763"/>
    <w:rsid w:val="00456567"/>
    <w:rsid w:val="00473614"/>
    <w:rsid w:val="00474648"/>
    <w:rsid w:val="00496915"/>
    <w:rsid w:val="004A4206"/>
    <w:rsid w:val="004A7C07"/>
    <w:rsid w:val="004C3FCC"/>
    <w:rsid w:val="004D4296"/>
    <w:rsid w:val="004E730E"/>
    <w:rsid w:val="00507A22"/>
    <w:rsid w:val="00507CF7"/>
    <w:rsid w:val="005141F5"/>
    <w:rsid w:val="005215BC"/>
    <w:rsid w:val="0052532E"/>
    <w:rsid w:val="005308D8"/>
    <w:rsid w:val="005362A5"/>
    <w:rsid w:val="00541E1B"/>
    <w:rsid w:val="00542B6F"/>
    <w:rsid w:val="00563D48"/>
    <w:rsid w:val="0056611D"/>
    <w:rsid w:val="005702FF"/>
    <w:rsid w:val="005741A1"/>
    <w:rsid w:val="0059177B"/>
    <w:rsid w:val="005935F7"/>
    <w:rsid w:val="005C5760"/>
    <w:rsid w:val="005E4DDA"/>
    <w:rsid w:val="005F0A4E"/>
    <w:rsid w:val="005F3DE6"/>
    <w:rsid w:val="005F7CB7"/>
    <w:rsid w:val="00605F27"/>
    <w:rsid w:val="006121F5"/>
    <w:rsid w:val="00620DE8"/>
    <w:rsid w:val="006228E3"/>
    <w:rsid w:val="00622EC6"/>
    <w:rsid w:val="0062496F"/>
    <w:rsid w:val="00627211"/>
    <w:rsid w:val="00642CC0"/>
    <w:rsid w:val="00657CC1"/>
    <w:rsid w:val="00661BA2"/>
    <w:rsid w:val="006644E4"/>
    <w:rsid w:val="00666D5E"/>
    <w:rsid w:val="00685232"/>
    <w:rsid w:val="00685B20"/>
    <w:rsid w:val="006907D6"/>
    <w:rsid w:val="006916E4"/>
    <w:rsid w:val="00691FF6"/>
    <w:rsid w:val="00692FF7"/>
    <w:rsid w:val="006A0342"/>
    <w:rsid w:val="006A132D"/>
    <w:rsid w:val="006B6543"/>
    <w:rsid w:val="006C14FE"/>
    <w:rsid w:val="006D11C7"/>
    <w:rsid w:val="006D2047"/>
    <w:rsid w:val="006E792A"/>
    <w:rsid w:val="00704A22"/>
    <w:rsid w:val="007118F0"/>
    <w:rsid w:val="00713EDD"/>
    <w:rsid w:val="0072211A"/>
    <w:rsid w:val="00722963"/>
    <w:rsid w:val="0072407C"/>
    <w:rsid w:val="00734C82"/>
    <w:rsid w:val="007422DC"/>
    <w:rsid w:val="00760F04"/>
    <w:rsid w:val="00770991"/>
    <w:rsid w:val="007752C2"/>
    <w:rsid w:val="0078122B"/>
    <w:rsid w:val="007C52CB"/>
    <w:rsid w:val="007D69DF"/>
    <w:rsid w:val="007E0E64"/>
    <w:rsid w:val="007E297F"/>
    <w:rsid w:val="007F2BA5"/>
    <w:rsid w:val="007F3F72"/>
    <w:rsid w:val="007F41E4"/>
    <w:rsid w:val="00803C56"/>
    <w:rsid w:val="008121B5"/>
    <w:rsid w:val="00812646"/>
    <w:rsid w:val="0081386B"/>
    <w:rsid w:val="00825B0D"/>
    <w:rsid w:val="00826E07"/>
    <w:rsid w:val="00833119"/>
    <w:rsid w:val="00836F8B"/>
    <w:rsid w:val="00844C69"/>
    <w:rsid w:val="0085541E"/>
    <w:rsid w:val="008564C7"/>
    <w:rsid w:val="0085740D"/>
    <w:rsid w:val="0086167C"/>
    <w:rsid w:val="00874486"/>
    <w:rsid w:val="008836F1"/>
    <w:rsid w:val="0088504B"/>
    <w:rsid w:val="00887A20"/>
    <w:rsid w:val="008B2A46"/>
    <w:rsid w:val="008B47F9"/>
    <w:rsid w:val="008C2EFB"/>
    <w:rsid w:val="008D0407"/>
    <w:rsid w:val="008D13F9"/>
    <w:rsid w:val="00901375"/>
    <w:rsid w:val="0090766A"/>
    <w:rsid w:val="00911A73"/>
    <w:rsid w:val="0092120A"/>
    <w:rsid w:val="009238F8"/>
    <w:rsid w:val="00923F8B"/>
    <w:rsid w:val="00925707"/>
    <w:rsid w:val="009258FA"/>
    <w:rsid w:val="00933B2D"/>
    <w:rsid w:val="00935382"/>
    <w:rsid w:val="0095146F"/>
    <w:rsid w:val="009530B2"/>
    <w:rsid w:val="0095419B"/>
    <w:rsid w:val="00955781"/>
    <w:rsid w:val="009646FA"/>
    <w:rsid w:val="00965EF7"/>
    <w:rsid w:val="00967021"/>
    <w:rsid w:val="009729A8"/>
    <w:rsid w:val="0098027D"/>
    <w:rsid w:val="009A61D2"/>
    <w:rsid w:val="009A77A7"/>
    <w:rsid w:val="009B145D"/>
    <w:rsid w:val="009B3E1A"/>
    <w:rsid w:val="009B7529"/>
    <w:rsid w:val="009C6C18"/>
    <w:rsid w:val="009D192A"/>
    <w:rsid w:val="009D3F89"/>
    <w:rsid w:val="009D4500"/>
    <w:rsid w:val="009E188A"/>
    <w:rsid w:val="009E6552"/>
    <w:rsid w:val="009F10FB"/>
    <w:rsid w:val="009F36A4"/>
    <w:rsid w:val="009F6995"/>
    <w:rsid w:val="00A121B9"/>
    <w:rsid w:val="00A14A36"/>
    <w:rsid w:val="00A1751C"/>
    <w:rsid w:val="00A17B14"/>
    <w:rsid w:val="00A21A81"/>
    <w:rsid w:val="00A21B83"/>
    <w:rsid w:val="00A23B0B"/>
    <w:rsid w:val="00A45C0D"/>
    <w:rsid w:val="00A500C0"/>
    <w:rsid w:val="00A5045A"/>
    <w:rsid w:val="00A6499B"/>
    <w:rsid w:val="00A72AEB"/>
    <w:rsid w:val="00A73932"/>
    <w:rsid w:val="00A9331E"/>
    <w:rsid w:val="00A9396D"/>
    <w:rsid w:val="00A9563D"/>
    <w:rsid w:val="00AA39EE"/>
    <w:rsid w:val="00AA6E59"/>
    <w:rsid w:val="00AB1438"/>
    <w:rsid w:val="00AB5023"/>
    <w:rsid w:val="00AC69D3"/>
    <w:rsid w:val="00AD523F"/>
    <w:rsid w:val="00AE0A1C"/>
    <w:rsid w:val="00AE267C"/>
    <w:rsid w:val="00AE7863"/>
    <w:rsid w:val="00AF49B0"/>
    <w:rsid w:val="00B02155"/>
    <w:rsid w:val="00B05AC0"/>
    <w:rsid w:val="00B11FEB"/>
    <w:rsid w:val="00B125C7"/>
    <w:rsid w:val="00B3364E"/>
    <w:rsid w:val="00B4796F"/>
    <w:rsid w:val="00B5519D"/>
    <w:rsid w:val="00B57D10"/>
    <w:rsid w:val="00B629C6"/>
    <w:rsid w:val="00B71970"/>
    <w:rsid w:val="00B83699"/>
    <w:rsid w:val="00B837E9"/>
    <w:rsid w:val="00B95534"/>
    <w:rsid w:val="00BC515C"/>
    <w:rsid w:val="00BF4DB6"/>
    <w:rsid w:val="00BF7247"/>
    <w:rsid w:val="00C03D6B"/>
    <w:rsid w:val="00C112D6"/>
    <w:rsid w:val="00C129CF"/>
    <w:rsid w:val="00C143AE"/>
    <w:rsid w:val="00C17B90"/>
    <w:rsid w:val="00C26521"/>
    <w:rsid w:val="00C27A28"/>
    <w:rsid w:val="00C32571"/>
    <w:rsid w:val="00C42475"/>
    <w:rsid w:val="00C42E2B"/>
    <w:rsid w:val="00C53047"/>
    <w:rsid w:val="00C548AF"/>
    <w:rsid w:val="00C60A8C"/>
    <w:rsid w:val="00C63531"/>
    <w:rsid w:val="00C71FBF"/>
    <w:rsid w:val="00C87C89"/>
    <w:rsid w:val="00CD3E6D"/>
    <w:rsid w:val="00CE2EFD"/>
    <w:rsid w:val="00CE7B53"/>
    <w:rsid w:val="00CF247B"/>
    <w:rsid w:val="00CF26CF"/>
    <w:rsid w:val="00CF4371"/>
    <w:rsid w:val="00CF77DC"/>
    <w:rsid w:val="00D05B3A"/>
    <w:rsid w:val="00D14BF0"/>
    <w:rsid w:val="00D245B9"/>
    <w:rsid w:val="00D2496E"/>
    <w:rsid w:val="00D27373"/>
    <w:rsid w:val="00D35459"/>
    <w:rsid w:val="00D44F4F"/>
    <w:rsid w:val="00D520E6"/>
    <w:rsid w:val="00D5255F"/>
    <w:rsid w:val="00D56BBF"/>
    <w:rsid w:val="00D64C74"/>
    <w:rsid w:val="00D66ECB"/>
    <w:rsid w:val="00D70E95"/>
    <w:rsid w:val="00D7399E"/>
    <w:rsid w:val="00D75CF6"/>
    <w:rsid w:val="00D8169A"/>
    <w:rsid w:val="00D863B0"/>
    <w:rsid w:val="00D903BC"/>
    <w:rsid w:val="00DA0A7E"/>
    <w:rsid w:val="00DA3125"/>
    <w:rsid w:val="00DB554C"/>
    <w:rsid w:val="00DB6EB4"/>
    <w:rsid w:val="00DC0710"/>
    <w:rsid w:val="00DC2DEA"/>
    <w:rsid w:val="00DD654F"/>
    <w:rsid w:val="00E009F8"/>
    <w:rsid w:val="00E11D53"/>
    <w:rsid w:val="00E23E31"/>
    <w:rsid w:val="00E30824"/>
    <w:rsid w:val="00E3486C"/>
    <w:rsid w:val="00E44ABE"/>
    <w:rsid w:val="00E5328C"/>
    <w:rsid w:val="00E615AA"/>
    <w:rsid w:val="00E65DE2"/>
    <w:rsid w:val="00E76C12"/>
    <w:rsid w:val="00E877B2"/>
    <w:rsid w:val="00E927A9"/>
    <w:rsid w:val="00E942F7"/>
    <w:rsid w:val="00E97043"/>
    <w:rsid w:val="00EB6517"/>
    <w:rsid w:val="00EC162F"/>
    <w:rsid w:val="00EC4048"/>
    <w:rsid w:val="00EC4BF9"/>
    <w:rsid w:val="00EC5AAB"/>
    <w:rsid w:val="00EC6B4F"/>
    <w:rsid w:val="00ED03B5"/>
    <w:rsid w:val="00ED0601"/>
    <w:rsid w:val="00EE379C"/>
    <w:rsid w:val="00F00464"/>
    <w:rsid w:val="00F17C4B"/>
    <w:rsid w:val="00F25196"/>
    <w:rsid w:val="00F30A56"/>
    <w:rsid w:val="00F30A73"/>
    <w:rsid w:val="00F36E2B"/>
    <w:rsid w:val="00F40EA7"/>
    <w:rsid w:val="00F50711"/>
    <w:rsid w:val="00F54142"/>
    <w:rsid w:val="00F85C6C"/>
    <w:rsid w:val="00F871DC"/>
    <w:rsid w:val="00F93E16"/>
    <w:rsid w:val="00F95D27"/>
    <w:rsid w:val="00FA097B"/>
    <w:rsid w:val="00FA2906"/>
    <w:rsid w:val="00FA4717"/>
    <w:rsid w:val="00FA608E"/>
    <w:rsid w:val="00FB1672"/>
    <w:rsid w:val="00FB5F22"/>
    <w:rsid w:val="00FC31CC"/>
    <w:rsid w:val="00FC5BF4"/>
    <w:rsid w:val="00FE2193"/>
    <w:rsid w:val="00FF3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511CF"/>
  <w15:docId w15:val="{722A9342-8959-4004-9AAC-BE91A3CE9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imes New Roman"/>
        <w:lang w:val="en-GB" w:eastAsia="en-GB" w:bidi="ar-SA"/>
      </w:rPr>
    </w:rPrDefault>
    <w:pPrDefault/>
  </w:docDefaults>
  <w:latentStyles w:defLockedState="0" w:defUIPriority="99" w:defSemiHidden="0" w:defUnhideWhenUsed="0" w:defQFormat="0" w:count="376">
    <w:lsdException w:name="Normal" w:uiPriority="5" w:qFormat="1"/>
    <w:lsdException w:name="heading 1" w:uiPriority="2" w:qFormat="1"/>
    <w:lsdException w:name="heading 2" w:semiHidden="1" w:uiPriority="2" w:unhideWhenUsed="1" w:qFormat="1"/>
    <w:lsdException w:name="heading 3" w:semiHidden="1" w:uiPriority="2" w:unhideWhenUsed="1"/>
    <w:lsdException w:name="heading 4" w:semiHidden="1" w:unhideWhenUsed="1" w:qFormat="1"/>
    <w:lsdException w:name="heading 5" w:semiHidden="1" w:unhideWhenUsed="1" w:qFormat="1"/>
    <w:lsdException w:name="heading 6" w:semiHidden="1" w:uiPriority="34" w:unhideWhenUsed="1" w:qFormat="1"/>
    <w:lsdException w:name="heading 7" w:semiHidden="1" w:uiPriority="34" w:unhideWhenUsed="1" w:qFormat="1"/>
    <w:lsdException w:name="heading 8" w:semiHidden="1" w:uiPriority="34" w:unhideWhenUsed="1" w:qFormat="1"/>
    <w:lsdException w:name="heading 9" w:semiHidden="1" w:uiPriority="3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9" w:unhideWhenUsed="1"/>
    <w:lsdException w:name="annotation text" w:semiHidden="1" w:unhideWhenUsed="1"/>
    <w:lsdException w:name="header" w:semiHidden="1" w:uiPriority="29"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Salutation" w:semiHidden="1" w:unhideWhenUsed="1"/>
    <w:lsdException w:name="Date" w:semiHidden="1" w:uiPriority="1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iPriority="37" w:unhideWhenUsed="1"/>
    <w:lsdException w:name="TOC Heading" w:semiHidden="1" w:uiPriority="24"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5"/>
    <w:qFormat/>
    <w:rsid w:val="007F41E4"/>
    <w:pPr>
      <w:spacing w:line="260" w:lineRule="atLeast"/>
    </w:pPr>
    <w:rPr>
      <w:sz w:val="22"/>
      <w:szCs w:val="22"/>
    </w:rPr>
  </w:style>
  <w:style w:type="paragraph" w:styleId="Heading1">
    <w:name w:val="heading 1"/>
    <w:basedOn w:val="Normal"/>
    <w:next w:val="BodyText"/>
    <w:link w:val="Heading1Char"/>
    <w:uiPriority w:val="2"/>
    <w:qFormat/>
    <w:rsid w:val="007F41E4"/>
    <w:pPr>
      <w:spacing w:before="240" w:after="120"/>
      <w:outlineLvl w:val="0"/>
    </w:pPr>
    <w:rPr>
      <w:b/>
    </w:rPr>
  </w:style>
  <w:style w:type="paragraph" w:styleId="Heading2">
    <w:name w:val="heading 2"/>
    <w:basedOn w:val="Heading1"/>
    <w:next w:val="BodyText"/>
    <w:link w:val="Heading2Char"/>
    <w:uiPriority w:val="2"/>
    <w:qFormat/>
    <w:rsid w:val="007F41E4"/>
    <w:pPr>
      <w:numPr>
        <w:ilvl w:val="1"/>
      </w:numPr>
      <w:spacing w:after="0"/>
      <w:outlineLvl w:val="1"/>
    </w:pPr>
  </w:style>
  <w:style w:type="paragraph" w:styleId="Heading3">
    <w:name w:val="heading 3"/>
    <w:basedOn w:val="Normal"/>
    <w:next w:val="BodyText"/>
    <w:link w:val="Heading3Char"/>
    <w:uiPriority w:val="2"/>
    <w:rsid w:val="007F41E4"/>
    <w:pPr>
      <w:keepNext/>
      <w:keepLines/>
      <w:spacing w:before="240"/>
      <w:outlineLvl w:val="2"/>
    </w:pPr>
    <w:rPr>
      <w:rFonts w:eastAsiaTheme="majorEastAsia" w:cstheme="majorBidi"/>
      <w:color w:val="78A22F" w:themeColor="accent1"/>
      <w:szCs w:val="24"/>
    </w:rPr>
  </w:style>
  <w:style w:type="paragraph" w:styleId="Heading4">
    <w:name w:val="heading 4"/>
    <w:basedOn w:val="Normal"/>
    <w:next w:val="BodyText"/>
    <w:link w:val="Heading4Char"/>
    <w:uiPriority w:val="99"/>
    <w:rsid w:val="007F41E4"/>
    <w:pPr>
      <w:keepNext/>
      <w:keepLines/>
      <w:outlineLvl w:val="3"/>
    </w:pPr>
    <w:rPr>
      <w:rFonts w:eastAsiaTheme="majorEastAsia" w:cstheme="majorBidi"/>
      <w:b/>
      <w:iCs/>
      <w:color w:val="808285" w:themeColor="accent5"/>
    </w:rPr>
  </w:style>
  <w:style w:type="paragraph" w:styleId="Heading5">
    <w:name w:val="heading 5"/>
    <w:basedOn w:val="Normal"/>
    <w:next w:val="BodyText"/>
    <w:link w:val="Heading5Char"/>
    <w:uiPriority w:val="99"/>
    <w:rsid w:val="007F41E4"/>
    <w:pPr>
      <w:keepNext/>
      <w:keepLines/>
      <w:outlineLvl w:val="4"/>
    </w:pPr>
    <w:rPr>
      <w:rFonts w:eastAsiaTheme="majorEastAsia" w:cstheme="majorBid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29"/>
    <w:rsid w:val="007F41E4"/>
    <w:pPr>
      <w:tabs>
        <w:tab w:val="center" w:pos="4513"/>
        <w:tab w:val="right" w:pos="9026"/>
      </w:tabs>
      <w:spacing w:line="240" w:lineRule="auto"/>
      <w:jc w:val="right"/>
    </w:pPr>
    <w:rPr>
      <w:rFonts w:asciiTheme="majorHAnsi" w:hAnsiTheme="majorHAnsi"/>
      <w:sz w:val="18"/>
    </w:rPr>
  </w:style>
  <w:style w:type="character" w:customStyle="1" w:styleId="HeaderChar">
    <w:name w:val="Header Char"/>
    <w:basedOn w:val="DefaultParagraphFont"/>
    <w:link w:val="Header"/>
    <w:uiPriority w:val="29"/>
    <w:rsid w:val="007F41E4"/>
    <w:rPr>
      <w:rFonts w:asciiTheme="majorHAnsi" w:hAnsiTheme="majorHAnsi"/>
      <w:sz w:val="18"/>
      <w:szCs w:val="22"/>
    </w:rPr>
  </w:style>
  <w:style w:type="paragraph" w:styleId="Footer">
    <w:name w:val="footer"/>
    <w:basedOn w:val="Normal"/>
    <w:link w:val="FooterChar"/>
    <w:uiPriority w:val="29"/>
    <w:rsid w:val="007F41E4"/>
    <w:pPr>
      <w:tabs>
        <w:tab w:val="center" w:pos="4513"/>
        <w:tab w:val="right" w:pos="9026"/>
      </w:tabs>
      <w:spacing w:line="240" w:lineRule="auto"/>
      <w:ind w:right="397"/>
    </w:pPr>
    <w:rPr>
      <w:rFonts w:asciiTheme="majorHAnsi" w:hAnsiTheme="majorHAnsi"/>
      <w:color w:val="78A22F" w:themeColor="accent1"/>
      <w:sz w:val="18"/>
    </w:rPr>
  </w:style>
  <w:style w:type="character" w:customStyle="1" w:styleId="FooterChar">
    <w:name w:val="Footer Char"/>
    <w:basedOn w:val="DefaultParagraphFont"/>
    <w:link w:val="Footer"/>
    <w:uiPriority w:val="29"/>
    <w:rsid w:val="007F41E4"/>
    <w:rPr>
      <w:rFonts w:asciiTheme="majorHAnsi" w:hAnsiTheme="majorHAnsi"/>
      <w:color w:val="78A22F" w:themeColor="accent1"/>
      <w:sz w:val="18"/>
      <w:szCs w:val="22"/>
    </w:rPr>
  </w:style>
  <w:style w:type="paragraph" w:customStyle="1" w:styleId="FooterHeading">
    <w:name w:val="Footer Heading"/>
    <w:basedOn w:val="Normal"/>
    <w:uiPriority w:val="29"/>
    <w:rsid w:val="007F41E4"/>
    <w:pPr>
      <w:spacing w:line="220" w:lineRule="atLeast"/>
    </w:pPr>
    <w:rPr>
      <w:rFonts w:asciiTheme="majorHAnsi" w:eastAsiaTheme="minorEastAsia" w:hAnsiTheme="majorHAnsi" w:cstheme="minorBidi"/>
      <w:b/>
      <w:color w:val="78A22F" w:themeColor="accent1"/>
      <w:sz w:val="18"/>
    </w:rPr>
  </w:style>
  <w:style w:type="paragraph" w:customStyle="1" w:styleId="FooterOffices">
    <w:name w:val="Footer Offices"/>
    <w:basedOn w:val="Normal"/>
    <w:uiPriority w:val="27"/>
    <w:rsid w:val="007F41E4"/>
    <w:pPr>
      <w:spacing w:line="220" w:lineRule="atLeast"/>
    </w:pPr>
    <w:rPr>
      <w:rFonts w:eastAsiaTheme="minorEastAsia" w:cstheme="minorBidi"/>
      <w:color w:val="000000" w:themeColor="text1"/>
      <w:sz w:val="18"/>
    </w:rPr>
  </w:style>
  <w:style w:type="paragraph" w:customStyle="1" w:styleId="FooterRegistration">
    <w:name w:val="Footer Registration"/>
    <w:basedOn w:val="FooterOffices"/>
    <w:uiPriority w:val="29"/>
    <w:rsid w:val="007F41E4"/>
    <w:rPr>
      <w:sz w:val="14"/>
    </w:rPr>
  </w:style>
  <w:style w:type="paragraph" w:styleId="Title">
    <w:name w:val="Title"/>
    <w:next w:val="Subtitle"/>
    <w:link w:val="TitleChar"/>
    <w:uiPriority w:val="8"/>
    <w:qFormat/>
    <w:rsid w:val="007F41E4"/>
    <w:pPr>
      <w:pBdr>
        <w:top w:val="single" w:sz="8" w:space="5" w:color="78A22F" w:themeColor="accent1"/>
      </w:pBdr>
      <w:spacing w:line="320" w:lineRule="atLeast"/>
    </w:pPr>
    <w:rPr>
      <w:rFonts w:asciiTheme="majorHAnsi" w:eastAsiaTheme="majorEastAsia" w:hAnsiTheme="majorHAnsi" w:cstheme="majorBidi"/>
      <w:b/>
      <w:color w:val="78A22F" w:themeColor="accent1"/>
      <w:sz w:val="32"/>
      <w:szCs w:val="32"/>
    </w:rPr>
  </w:style>
  <w:style w:type="character" w:customStyle="1" w:styleId="TitleChar">
    <w:name w:val="Title Char"/>
    <w:basedOn w:val="DefaultParagraphFont"/>
    <w:link w:val="Title"/>
    <w:uiPriority w:val="8"/>
    <w:rsid w:val="007F41E4"/>
    <w:rPr>
      <w:rFonts w:asciiTheme="majorHAnsi" w:eastAsiaTheme="majorEastAsia" w:hAnsiTheme="majorHAnsi" w:cstheme="majorBidi"/>
      <w:b/>
      <w:color w:val="78A22F" w:themeColor="accent1"/>
      <w:sz w:val="32"/>
      <w:szCs w:val="32"/>
    </w:rPr>
  </w:style>
  <w:style w:type="character" w:styleId="Hyperlink">
    <w:name w:val="Hyperlink"/>
    <w:uiPriority w:val="99"/>
    <w:unhideWhenUsed/>
    <w:rsid w:val="007F41E4"/>
    <w:rPr>
      <w:color w:val="78A22F" w:themeColor="accent1"/>
      <w:u w:val="single"/>
    </w:rPr>
  </w:style>
  <w:style w:type="character" w:styleId="FollowedHyperlink">
    <w:name w:val="FollowedHyperlink"/>
    <w:basedOn w:val="DefaultParagraphFont"/>
    <w:uiPriority w:val="99"/>
    <w:semiHidden/>
    <w:unhideWhenUsed/>
    <w:rsid w:val="007F41E4"/>
    <w:rPr>
      <w:color w:val="800080" w:themeColor="followedHyperlink"/>
      <w:u w:val="single"/>
    </w:rPr>
  </w:style>
  <w:style w:type="character" w:customStyle="1" w:styleId="Heading1Char">
    <w:name w:val="Heading 1 Char"/>
    <w:basedOn w:val="DefaultParagraphFont"/>
    <w:link w:val="Heading1"/>
    <w:uiPriority w:val="2"/>
    <w:rsid w:val="007F41E4"/>
    <w:rPr>
      <w:b/>
      <w:sz w:val="22"/>
      <w:szCs w:val="22"/>
    </w:rPr>
  </w:style>
  <w:style w:type="character" w:customStyle="1" w:styleId="Heading2Char">
    <w:name w:val="Heading 2 Char"/>
    <w:basedOn w:val="DefaultParagraphFont"/>
    <w:link w:val="Heading2"/>
    <w:uiPriority w:val="2"/>
    <w:rsid w:val="007F41E4"/>
    <w:rPr>
      <w:b/>
      <w:sz w:val="22"/>
      <w:szCs w:val="22"/>
    </w:rPr>
  </w:style>
  <w:style w:type="character" w:customStyle="1" w:styleId="Heading3Char">
    <w:name w:val="Heading 3 Char"/>
    <w:basedOn w:val="DefaultParagraphFont"/>
    <w:link w:val="Heading3"/>
    <w:uiPriority w:val="2"/>
    <w:rsid w:val="007F41E4"/>
    <w:rPr>
      <w:rFonts w:eastAsiaTheme="majorEastAsia" w:cstheme="majorBidi"/>
      <w:color w:val="78A22F" w:themeColor="accent1"/>
      <w:sz w:val="22"/>
      <w:szCs w:val="24"/>
    </w:rPr>
  </w:style>
  <w:style w:type="character" w:customStyle="1" w:styleId="Heading4Char">
    <w:name w:val="Heading 4 Char"/>
    <w:basedOn w:val="DefaultParagraphFont"/>
    <w:link w:val="Heading4"/>
    <w:uiPriority w:val="99"/>
    <w:rsid w:val="007F41E4"/>
    <w:rPr>
      <w:rFonts w:eastAsiaTheme="majorEastAsia" w:cstheme="majorBidi"/>
      <w:b/>
      <w:iCs/>
      <w:color w:val="808285" w:themeColor="accent5"/>
      <w:sz w:val="22"/>
      <w:szCs w:val="22"/>
    </w:rPr>
  </w:style>
  <w:style w:type="paragraph" w:styleId="Subtitle">
    <w:name w:val="Subtitle"/>
    <w:next w:val="Date"/>
    <w:link w:val="SubtitleChar"/>
    <w:uiPriority w:val="9"/>
    <w:qFormat/>
    <w:rsid w:val="007F41E4"/>
    <w:pPr>
      <w:spacing w:line="320" w:lineRule="atLeast"/>
    </w:pPr>
    <w:rPr>
      <w:rFonts w:eastAsiaTheme="majorEastAsia" w:cstheme="majorBidi"/>
      <w:b/>
      <w:sz w:val="28"/>
      <w:szCs w:val="26"/>
    </w:rPr>
  </w:style>
  <w:style w:type="character" w:customStyle="1" w:styleId="SubtitleChar">
    <w:name w:val="Subtitle Char"/>
    <w:basedOn w:val="DefaultParagraphFont"/>
    <w:link w:val="Subtitle"/>
    <w:uiPriority w:val="9"/>
    <w:rsid w:val="007F41E4"/>
    <w:rPr>
      <w:rFonts w:eastAsiaTheme="majorEastAsia" w:cstheme="majorBidi"/>
      <w:b/>
      <w:sz w:val="28"/>
      <w:szCs w:val="26"/>
    </w:rPr>
  </w:style>
  <w:style w:type="paragraph" w:customStyle="1" w:styleId="CoverDate">
    <w:name w:val="CoverDate"/>
    <w:basedOn w:val="Normal"/>
    <w:uiPriority w:val="25"/>
    <w:qFormat/>
    <w:rsid w:val="00EC4BF9"/>
    <w:pPr>
      <w:spacing w:before="120" w:after="120"/>
    </w:pPr>
    <w:rPr>
      <w:rFonts w:asciiTheme="majorHAnsi" w:hAnsiTheme="majorHAnsi"/>
      <w:sz w:val="36"/>
    </w:rPr>
  </w:style>
  <w:style w:type="character" w:customStyle="1" w:styleId="Heading5Char">
    <w:name w:val="Heading 5 Char"/>
    <w:basedOn w:val="DefaultParagraphFont"/>
    <w:link w:val="Heading5"/>
    <w:uiPriority w:val="99"/>
    <w:rsid w:val="007F41E4"/>
    <w:rPr>
      <w:rFonts w:eastAsiaTheme="majorEastAsia" w:cstheme="majorBidi"/>
      <w:sz w:val="18"/>
      <w:szCs w:val="22"/>
    </w:rPr>
  </w:style>
  <w:style w:type="paragraph" w:styleId="BalloonText">
    <w:name w:val="Balloon Text"/>
    <w:basedOn w:val="Normal"/>
    <w:link w:val="BalloonTextChar"/>
    <w:uiPriority w:val="99"/>
    <w:semiHidden/>
    <w:unhideWhenUsed/>
    <w:rsid w:val="007F41E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1E4"/>
    <w:rPr>
      <w:rFonts w:ascii="Segoe UI" w:hAnsi="Segoe UI" w:cs="Segoe UI"/>
      <w:sz w:val="18"/>
      <w:szCs w:val="18"/>
    </w:rPr>
  </w:style>
  <w:style w:type="paragraph" w:customStyle="1" w:styleId="Subject">
    <w:name w:val="Subject"/>
    <w:basedOn w:val="BodyText"/>
    <w:next w:val="BodyTextIndented2"/>
    <w:uiPriority w:val="13"/>
    <w:qFormat/>
    <w:rsid w:val="007F41E4"/>
    <w:pPr>
      <w:spacing w:before="60" w:after="60"/>
      <w:jc w:val="left"/>
    </w:pPr>
    <w:rPr>
      <w:rFonts w:asciiTheme="majorHAnsi" w:hAnsiTheme="majorHAnsi"/>
      <w:b/>
      <w:color w:val="78A22F" w:themeColor="accent1"/>
    </w:rPr>
  </w:style>
  <w:style w:type="paragraph" w:styleId="NoSpacing">
    <w:name w:val="No Spacing"/>
    <w:uiPriority w:val="99"/>
    <w:semiHidden/>
    <w:qFormat/>
    <w:rsid w:val="007F41E4"/>
    <w:pPr>
      <w:jc w:val="both"/>
    </w:pPr>
    <w:rPr>
      <w:sz w:val="22"/>
      <w:szCs w:val="22"/>
    </w:rPr>
  </w:style>
  <w:style w:type="paragraph" w:customStyle="1" w:styleId="Subject2">
    <w:name w:val="Subject2"/>
    <w:basedOn w:val="BodyText"/>
    <w:next w:val="BodyTextIndented2"/>
    <w:uiPriority w:val="13"/>
    <w:qFormat/>
    <w:rsid w:val="007F41E4"/>
    <w:pPr>
      <w:spacing w:before="60" w:after="60"/>
      <w:jc w:val="left"/>
    </w:pPr>
    <w:rPr>
      <w:rFonts w:asciiTheme="majorHAnsi" w:hAnsiTheme="majorHAnsi"/>
      <w:b/>
      <w:color w:val="58595B" w:themeColor="accent6"/>
    </w:rPr>
  </w:style>
  <w:style w:type="numbering" w:customStyle="1" w:styleId="AFMENumbering">
    <w:name w:val="AFME Numbering"/>
    <w:uiPriority w:val="99"/>
    <w:rsid w:val="007F41E4"/>
    <w:pPr>
      <w:numPr>
        <w:numId w:val="1"/>
      </w:numPr>
    </w:pPr>
  </w:style>
  <w:style w:type="numbering" w:customStyle="1" w:styleId="AFMEBullets">
    <w:name w:val="AFME Bullets"/>
    <w:uiPriority w:val="99"/>
    <w:rsid w:val="007F41E4"/>
    <w:pPr>
      <w:numPr>
        <w:numId w:val="6"/>
      </w:numPr>
    </w:pPr>
  </w:style>
  <w:style w:type="paragraph" w:styleId="ListParagraph">
    <w:name w:val="List Paragraph"/>
    <w:basedOn w:val="Normal"/>
    <w:uiPriority w:val="99"/>
    <w:semiHidden/>
    <w:qFormat/>
    <w:rsid w:val="007F41E4"/>
    <w:pPr>
      <w:ind w:left="720"/>
      <w:contextualSpacing/>
    </w:pPr>
  </w:style>
  <w:style w:type="paragraph" w:customStyle="1" w:styleId="Bullets1">
    <w:name w:val="Bullets 1"/>
    <w:basedOn w:val="Normal"/>
    <w:uiPriority w:val="4"/>
    <w:qFormat/>
    <w:rsid w:val="007F41E4"/>
    <w:pPr>
      <w:numPr>
        <w:numId w:val="36"/>
      </w:numPr>
      <w:spacing w:after="120"/>
      <w:contextualSpacing/>
    </w:pPr>
  </w:style>
  <w:style w:type="paragraph" w:customStyle="1" w:styleId="Bullets2">
    <w:name w:val="Bullets 2"/>
    <w:basedOn w:val="Bullets1"/>
    <w:uiPriority w:val="4"/>
    <w:qFormat/>
    <w:rsid w:val="007F41E4"/>
    <w:pPr>
      <w:numPr>
        <w:ilvl w:val="1"/>
      </w:numPr>
    </w:pPr>
  </w:style>
  <w:style w:type="paragraph" w:customStyle="1" w:styleId="Bullets3">
    <w:name w:val="Bullets 3"/>
    <w:basedOn w:val="Bullets2"/>
    <w:uiPriority w:val="4"/>
    <w:unhideWhenUsed/>
    <w:rsid w:val="007F41E4"/>
    <w:pPr>
      <w:numPr>
        <w:ilvl w:val="2"/>
      </w:numPr>
    </w:pPr>
  </w:style>
  <w:style w:type="paragraph" w:styleId="BodyText">
    <w:name w:val="Body Text"/>
    <w:basedOn w:val="Normal"/>
    <w:link w:val="BodyTextChar"/>
    <w:qFormat/>
    <w:rsid w:val="007F41E4"/>
    <w:pPr>
      <w:spacing w:after="120"/>
      <w:jc w:val="both"/>
    </w:pPr>
  </w:style>
  <w:style w:type="character" w:customStyle="1" w:styleId="BodyTextChar">
    <w:name w:val="Body Text Char"/>
    <w:basedOn w:val="DefaultParagraphFont"/>
    <w:link w:val="BodyText"/>
    <w:rsid w:val="007F41E4"/>
    <w:rPr>
      <w:sz w:val="22"/>
      <w:szCs w:val="22"/>
    </w:rPr>
  </w:style>
  <w:style w:type="paragraph" w:styleId="FootnoteText">
    <w:name w:val="footnote text"/>
    <w:basedOn w:val="Normal"/>
    <w:link w:val="FootnoteTextChar"/>
    <w:uiPriority w:val="29"/>
    <w:rsid w:val="007F41E4"/>
    <w:pPr>
      <w:spacing w:line="240" w:lineRule="auto"/>
    </w:pPr>
    <w:rPr>
      <w:rFonts w:asciiTheme="majorHAnsi" w:hAnsiTheme="majorHAnsi"/>
      <w:sz w:val="14"/>
    </w:rPr>
  </w:style>
  <w:style w:type="character" w:customStyle="1" w:styleId="FootnoteTextChar">
    <w:name w:val="Footnote Text Char"/>
    <w:basedOn w:val="DefaultParagraphFont"/>
    <w:link w:val="FootnoteText"/>
    <w:uiPriority w:val="29"/>
    <w:rsid w:val="007F41E4"/>
    <w:rPr>
      <w:rFonts w:asciiTheme="majorHAnsi" w:hAnsiTheme="majorHAnsi"/>
      <w:sz w:val="14"/>
      <w:szCs w:val="22"/>
    </w:rPr>
  </w:style>
  <w:style w:type="character" w:styleId="FootnoteReference">
    <w:name w:val="footnote reference"/>
    <w:basedOn w:val="DefaultParagraphFont"/>
    <w:uiPriority w:val="99"/>
    <w:semiHidden/>
    <w:unhideWhenUsed/>
    <w:rsid w:val="007F41E4"/>
    <w:rPr>
      <w:vertAlign w:val="superscript"/>
    </w:rPr>
  </w:style>
  <w:style w:type="paragraph" w:customStyle="1" w:styleId="GreenLine">
    <w:name w:val="Green Line"/>
    <w:basedOn w:val="Normal"/>
    <w:next w:val="BodyText"/>
    <w:uiPriority w:val="23"/>
    <w:qFormat/>
    <w:rsid w:val="007F41E4"/>
    <w:pPr>
      <w:pBdr>
        <w:bottom w:val="single" w:sz="8" w:space="1" w:color="78A22F" w:themeColor="accent1"/>
      </w:pBdr>
      <w:spacing w:after="240"/>
    </w:pPr>
    <w:rPr>
      <w:rFonts w:asciiTheme="majorHAnsi" w:hAnsiTheme="majorHAnsi"/>
      <w:color w:val="78A22F" w:themeColor="accent1"/>
    </w:rPr>
  </w:style>
  <w:style w:type="paragraph" w:customStyle="1" w:styleId="BodyTextIndented2">
    <w:name w:val="Body Text Indented 2"/>
    <w:basedOn w:val="BodyText"/>
    <w:uiPriority w:val="1"/>
    <w:rsid w:val="007F41E4"/>
    <w:pPr>
      <w:ind w:left="284"/>
    </w:pPr>
  </w:style>
  <w:style w:type="table" w:styleId="TableGrid">
    <w:name w:val="Table Grid"/>
    <w:basedOn w:val="TableNormal"/>
    <w:uiPriority w:val="59"/>
    <w:rsid w:val="007F41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ckCoverOffices">
    <w:name w:val="Back Cover Offices"/>
    <w:basedOn w:val="Normal"/>
    <w:uiPriority w:val="29"/>
    <w:rsid w:val="007F41E4"/>
    <w:rPr>
      <w:rFonts w:asciiTheme="majorHAnsi" w:hAnsiTheme="majorHAnsi" w:cstheme="majorHAnsi"/>
      <w:b/>
      <w:color w:val="78A22F" w:themeColor="accent1"/>
    </w:rPr>
  </w:style>
  <w:style w:type="paragraph" w:customStyle="1" w:styleId="BackCoverNames">
    <w:name w:val="Back Cover Names"/>
    <w:basedOn w:val="Normal"/>
    <w:link w:val="BackCoverNamesChar"/>
    <w:uiPriority w:val="29"/>
    <w:rsid w:val="007F41E4"/>
    <w:rPr>
      <w:b/>
      <w:color w:val="58595B" w:themeColor="text2"/>
    </w:rPr>
  </w:style>
  <w:style w:type="paragraph" w:customStyle="1" w:styleId="BackCoverURL">
    <w:name w:val="Back Cover URL"/>
    <w:basedOn w:val="BackCoverOffices"/>
    <w:uiPriority w:val="29"/>
    <w:rsid w:val="007F41E4"/>
    <w:rPr>
      <w:b w:val="0"/>
    </w:rPr>
  </w:style>
  <w:style w:type="character" w:customStyle="1" w:styleId="BackCoverNamesChar">
    <w:name w:val="Back Cover Names Char"/>
    <w:basedOn w:val="DefaultParagraphFont"/>
    <w:link w:val="BackCoverNames"/>
    <w:uiPriority w:val="29"/>
    <w:rsid w:val="007F41E4"/>
    <w:rPr>
      <w:b/>
      <w:color w:val="58595B" w:themeColor="text2"/>
      <w:sz w:val="22"/>
      <w:szCs w:val="22"/>
    </w:rPr>
  </w:style>
  <w:style w:type="paragraph" w:styleId="TOC1">
    <w:name w:val="toc 1"/>
    <w:basedOn w:val="Normal"/>
    <w:next w:val="Normal"/>
    <w:autoRedefine/>
    <w:uiPriority w:val="39"/>
    <w:rsid w:val="007F41E4"/>
    <w:pPr>
      <w:spacing w:before="60" w:after="60" w:line="240" w:lineRule="auto"/>
    </w:pPr>
    <w:rPr>
      <w:rFonts w:asciiTheme="majorHAnsi" w:hAnsiTheme="majorHAnsi"/>
      <w:b/>
      <w:color w:val="78A22F" w:themeColor="accent1"/>
      <w:sz w:val="18"/>
    </w:rPr>
  </w:style>
  <w:style w:type="paragraph" w:styleId="TOC2">
    <w:name w:val="toc 2"/>
    <w:basedOn w:val="Normal"/>
    <w:next w:val="Normal"/>
    <w:autoRedefine/>
    <w:uiPriority w:val="39"/>
    <w:rsid w:val="007F41E4"/>
    <w:pPr>
      <w:spacing w:line="240" w:lineRule="auto"/>
      <w:ind w:left="397" w:hanging="284"/>
    </w:pPr>
    <w:rPr>
      <w:rFonts w:asciiTheme="majorHAnsi" w:hAnsiTheme="majorHAnsi"/>
      <w:b/>
      <w:sz w:val="16"/>
    </w:rPr>
  </w:style>
  <w:style w:type="paragraph" w:styleId="TOC3">
    <w:name w:val="toc 3"/>
    <w:basedOn w:val="Normal"/>
    <w:next w:val="Normal"/>
    <w:autoRedefine/>
    <w:uiPriority w:val="39"/>
    <w:rsid w:val="007F41E4"/>
    <w:pPr>
      <w:spacing w:line="240" w:lineRule="auto"/>
      <w:ind w:left="624" w:hanging="397"/>
    </w:pPr>
    <w:rPr>
      <w:sz w:val="16"/>
    </w:rPr>
  </w:style>
  <w:style w:type="paragraph" w:styleId="Quote">
    <w:name w:val="Quote"/>
    <w:basedOn w:val="Normal"/>
    <w:next w:val="Normal"/>
    <w:link w:val="QuoteChar"/>
    <w:uiPriority w:val="99"/>
    <w:semiHidden/>
    <w:qFormat/>
    <w:rsid w:val="007F41E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99"/>
    <w:semiHidden/>
    <w:rsid w:val="007F41E4"/>
    <w:rPr>
      <w:i/>
      <w:iCs/>
      <w:color w:val="404040" w:themeColor="text1" w:themeTint="BF"/>
      <w:sz w:val="22"/>
      <w:szCs w:val="22"/>
    </w:rPr>
  </w:style>
  <w:style w:type="paragraph" w:styleId="TOCHeading">
    <w:name w:val="TOC Heading"/>
    <w:basedOn w:val="Normal"/>
    <w:next w:val="Normal"/>
    <w:uiPriority w:val="24"/>
    <w:rsid w:val="007F41E4"/>
    <w:pPr>
      <w:numPr>
        <w:numId w:val="34"/>
      </w:numPr>
      <w:pBdr>
        <w:bottom w:val="single" w:sz="8" w:space="1" w:color="78A22F" w:themeColor="accent1"/>
      </w:pBdr>
      <w:spacing w:after="240" w:line="360" w:lineRule="atLeast"/>
    </w:pPr>
    <w:rPr>
      <w:rFonts w:asciiTheme="majorHAnsi" w:hAnsiTheme="majorHAnsi"/>
      <w:color w:val="78A22F" w:themeColor="accent1"/>
      <w:sz w:val="32"/>
    </w:rPr>
  </w:style>
  <w:style w:type="paragraph" w:customStyle="1" w:styleId="Source">
    <w:name w:val="Source"/>
    <w:basedOn w:val="BodyText"/>
    <w:next w:val="BodyText"/>
    <w:uiPriority w:val="15"/>
    <w:qFormat/>
    <w:rsid w:val="007F41E4"/>
    <w:pPr>
      <w:numPr>
        <w:numId w:val="22"/>
      </w:numPr>
      <w:jc w:val="right"/>
    </w:pPr>
    <w:rPr>
      <w:rFonts w:asciiTheme="majorHAnsi" w:hAnsiTheme="majorHAnsi"/>
      <w:i/>
      <w:color w:val="58595B" w:themeColor="text2"/>
      <w:sz w:val="16"/>
    </w:rPr>
  </w:style>
  <w:style w:type="numbering" w:customStyle="1" w:styleId="Sources">
    <w:name w:val="Sources"/>
    <w:uiPriority w:val="99"/>
    <w:rsid w:val="007F41E4"/>
    <w:pPr>
      <w:numPr>
        <w:numId w:val="22"/>
      </w:numPr>
    </w:pPr>
  </w:style>
  <w:style w:type="paragraph" w:customStyle="1" w:styleId="Charts">
    <w:name w:val="Charts"/>
    <w:basedOn w:val="Normal"/>
    <w:next w:val="Source"/>
    <w:uiPriority w:val="14"/>
    <w:qFormat/>
    <w:rsid w:val="007F41E4"/>
    <w:pPr>
      <w:spacing w:line="240" w:lineRule="auto"/>
    </w:pPr>
    <w:rPr>
      <w:noProof/>
    </w:rPr>
  </w:style>
  <w:style w:type="paragraph" w:customStyle="1" w:styleId="Pictures">
    <w:name w:val="Pictures"/>
    <w:basedOn w:val="BodyText"/>
    <w:next w:val="Source"/>
    <w:uiPriority w:val="14"/>
    <w:rsid w:val="007F41E4"/>
  </w:style>
  <w:style w:type="paragraph" w:customStyle="1" w:styleId="Notes">
    <w:name w:val="Notes"/>
    <w:basedOn w:val="Normal"/>
    <w:next w:val="BodyText"/>
    <w:uiPriority w:val="17"/>
    <w:qFormat/>
    <w:rsid w:val="007F41E4"/>
    <w:pPr>
      <w:spacing w:after="120"/>
    </w:pPr>
    <w:rPr>
      <w:b/>
      <w:sz w:val="16"/>
    </w:rPr>
  </w:style>
  <w:style w:type="paragraph" w:customStyle="1" w:styleId="SectionHeading">
    <w:name w:val="Section Heading"/>
    <w:basedOn w:val="BodyText"/>
    <w:next w:val="Level1"/>
    <w:uiPriority w:val="11"/>
    <w:qFormat/>
    <w:rsid w:val="007F41E4"/>
    <w:pPr>
      <w:pBdr>
        <w:bottom w:val="single" w:sz="8" w:space="1" w:color="78A22F" w:themeColor="accent1"/>
      </w:pBdr>
      <w:spacing w:line="360" w:lineRule="atLeast"/>
      <w:jc w:val="left"/>
    </w:pPr>
    <w:rPr>
      <w:rFonts w:asciiTheme="majorHAnsi" w:hAnsiTheme="majorHAnsi"/>
      <w:color w:val="78A22F" w:themeColor="accent1"/>
      <w:sz w:val="32"/>
    </w:rPr>
  </w:style>
  <w:style w:type="paragraph" w:customStyle="1" w:styleId="BodyTextIndented1">
    <w:name w:val="Body Text Indented 1"/>
    <w:basedOn w:val="BodyText"/>
    <w:uiPriority w:val="1"/>
    <w:qFormat/>
    <w:rsid w:val="007F41E4"/>
    <w:pPr>
      <w:ind w:left="567"/>
    </w:pPr>
  </w:style>
  <w:style w:type="paragraph" w:customStyle="1" w:styleId="CoverTitle">
    <w:name w:val="Cover Title"/>
    <w:basedOn w:val="BodyText"/>
    <w:next w:val="CoverSubtitle"/>
    <w:uiPriority w:val="25"/>
    <w:qFormat/>
    <w:rsid w:val="007F41E4"/>
    <w:pPr>
      <w:spacing w:after="360" w:line="240" w:lineRule="auto"/>
      <w:jc w:val="left"/>
    </w:pPr>
    <w:rPr>
      <w:rFonts w:asciiTheme="majorHAnsi" w:hAnsiTheme="majorHAnsi"/>
      <w:b/>
      <w:color w:val="78A22F" w:themeColor="accent1"/>
      <w:sz w:val="72"/>
    </w:rPr>
  </w:style>
  <w:style w:type="paragraph" w:customStyle="1" w:styleId="BodyTextHighlight">
    <w:name w:val="Body Text Highlight"/>
    <w:basedOn w:val="BodyText"/>
    <w:next w:val="BodyText"/>
    <w:link w:val="BodyTextHighlightChar"/>
    <w:uiPriority w:val="7"/>
    <w:rsid w:val="007F41E4"/>
    <w:rPr>
      <w:rFonts w:asciiTheme="majorHAnsi" w:hAnsiTheme="majorHAnsi" w:cstheme="majorHAnsi"/>
      <w:b/>
      <w:color w:val="58595B" w:themeColor="text2"/>
    </w:rPr>
  </w:style>
  <w:style w:type="paragraph" w:customStyle="1" w:styleId="NormalHighlight">
    <w:name w:val="Normal Highlight"/>
    <w:basedOn w:val="Normal"/>
    <w:next w:val="Normal"/>
    <w:link w:val="NormalHighlightChar"/>
    <w:uiPriority w:val="7"/>
    <w:qFormat/>
    <w:rsid w:val="007F41E4"/>
    <w:rPr>
      <w:noProof/>
      <w:color w:val="78A22F" w:themeColor="accent1"/>
    </w:rPr>
  </w:style>
  <w:style w:type="paragraph" w:customStyle="1" w:styleId="Level1">
    <w:name w:val="Level 1"/>
    <w:basedOn w:val="BodyText"/>
    <w:next w:val="BodyTextIndented1"/>
    <w:uiPriority w:val="12"/>
    <w:qFormat/>
    <w:rsid w:val="007F41E4"/>
    <w:pPr>
      <w:numPr>
        <w:ilvl w:val="1"/>
        <w:numId w:val="34"/>
      </w:numPr>
      <w:spacing w:before="60" w:after="60"/>
    </w:pPr>
    <w:rPr>
      <w:rFonts w:asciiTheme="majorHAnsi" w:hAnsiTheme="majorHAnsi"/>
      <w:b/>
      <w:color w:val="78A22F" w:themeColor="accent1"/>
    </w:rPr>
  </w:style>
  <w:style w:type="paragraph" w:customStyle="1" w:styleId="Level2">
    <w:name w:val="Level 2"/>
    <w:basedOn w:val="BodyText"/>
    <w:next w:val="BodyTextIndented1"/>
    <w:uiPriority w:val="12"/>
    <w:qFormat/>
    <w:rsid w:val="007F41E4"/>
    <w:pPr>
      <w:numPr>
        <w:ilvl w:val="2"/>
        <w:numId w:val="34"/>
      </w:numPr>
      <w:spacing w:before="60" w:after="60"/>
    </w:pPr>
    <w:rPr>
      <w:rFonts w:asciiTheme="majorHAnsi" w:hAnsiTheme="majorHAnsi"/>
      <w:b/>
      <w:color w:val="58595B" w:themeColor="text2"/>
    </w:rPr>
  </w:style>
  <w:style w:type="paragraph" w:customStyle="1" w:styleId="Level3">
    <w:name w:val="Level 3"/>
    <w:basedOn w:val="BodyText"/>
    <w:next w:val="BodyTextIndented1"/>
    <w:uiPriority w:val="12"/>
    <w:rsid w:val="007F41E4"/>
    <w:pPr>
      <w:numPr>
        <w:ilvl w:val="3"/>
        <w:numId w:val="34"/>
      </w:numPr>
      <w:spacing w:before="60" w:after="60"/>
    </w:pPr>
    <w:rPr>
      <w:rFonts w:asciiTheme="majorHAnsi" w:hAnsiTheme="majorHAnsi"/>
      <w:color w:val="58595B" w:themeColor="text2"/>
    </w:rPr>
  </w:style>
  <w:style w:type="paragraph" w:customStyle="1" w:styleId="Level4">
    <w:name w:val="Level 4"/>
    <w:basedOn w:val="BodyText"/>
    <w:next w:val="BodyTextIndented1"/>
    <w:uiPriority w:val="12"/>
    <w:rsid w:val="007F41E4"/>
    <w:pPr>
      <w:numPr>
        <w:ilvl w:val="4"/>
        <w:numId w:val="34"/>
      </w:numPr>
      <w:spacing w:before="60" w:after="60"/>
    </w:pPr>
    <w:rPr>
      <w:rFonts w:asciiTheme="majorHAnsi" w:hAnsiTheme="majorHAnsi"/>
      <w:color w:val="58595B" w:themeColor="text2"/>
      <w:sz w:val="18"/>
    </w:rPr>
  </w:style>
  <w:style w:type="paragraph" w:customStyle="1" w:styleId="Level5">
    <w:name w:val="Level 5"/>
    <w:basedOn w:val="BodyText"/>
    <w:next w:val="BodyTextIndented1"/>
    <w:uiPriority w:val="12"/>
    <w:rsid w:val="007F41E4"/>
    <w:pPr>
      <w:numPr>
        <w:ilvl w:val="5"/>
        <w:numId w:val="34"/>
      </w:numPr>
      <w:spacing w:before="60" w:after="60"/>
    </w:pPr>
    <w:rPr>
      <w:rFonts w:asciiTheme="majorHAnsi" w:hAnsiTheme="majorHAnsi"/>
      <w:sz w:val="18"/>
    </w:rPr>
  </w:style>
  <w:style w:type="paragraph" w:customStyle="1" w:styleId="CoverSubtitle">
    <w:name w:val="Cover Subtitle"/>
    <w:basedOn w:val="BodyText"/>
    <w:next w:val="CoverDate0"/>
    <w:uiPriority w:val="26"/>
    <w:qFormat/>
    <w:rsid w:val="007F41E4"/>
    <w:pPr>
      <w:spacing w:after="360"/>
      <w:jc w:val="left"/>
    </w:pPr>
    <w:rPr>
      <w:rFonts w:asciiTheme="majorHAnsi" w:hAnsiTheme="majorHAnsi"/>
      <w:sz w:val="52"/>
    </w:rPr>
  </w:style>
  <w:style w:type="paragraph" w:customStyle="1" w:styleId="CoverFooterHeading">
    <w:name w:val="Cover Footer Heading"/>
    <w:basedOn w:val="BodyText"/>
    <w:uiPriority w:val="29"/>
    <w:rsid w:val="007F41E4"/>
    <w:pPr>
      <w:spacing w:after="0" w:line="220" w:lineRule="atLeast"/>
      <w:ind w:left="397"/>
      <w:jc w:val="left"/>
    </w:pPr>
    <w:rPr>
      <w:rFonts w:asciiTheme="majorHAnsi" w:hAnsiTheme="majorHAnsi"/>
      <w:color w:val="78A22F" w:themeColor="accent1"/>
    </w:rPr>
  </w:style>
  <w:style w:type="paragraph" w:customStyle="1" w:styleId="BodyTextBold">
    <w:name w:val="Body Text Bold"/>
    <w:basedOn w:val="BodyText"/>
    <w:next w:val="BodyText"/>
    <w:link w:val="BodyTextBoldChar"/>
    <w:uiPriority w:val="1"/>
    <w:qFormat/>
    <w:rsid w:val="007F41E4"/>
    <w:rPr>
      <w:b/>
      <w:noProof/>
    </w:rPr>
  </w:style>
  <w:style w:type="paragraph" w:styleId="Date">
    <w:name w:val="Date"/>
    <w:basedOn w:val="CoverDate0"/>
    <w:next w:val="Heading1"/>
    <w:link w:val="DateChar"/>
    <w:uiPriority w:val="10"/>
    <w:qFormat/>
    <w:rsid w:val="007F41E4"/>
    <w:pPr>
      <w:pBdr>
        <w:bottom w:val="single" w:sz="8" w:space="5" w:color="78A22F" w:themeColor="accent1"/>
      </w:pBdr>
      <w:spacing w:before="0" w:after="240"/>
    </w:pPr>
    <w:rPr>
      <w:rFonts w:asciiTheme="minorHAnsi" w:hAnsiTheme="minorHAnsi"/>
      <w:sz w:val="22"/>
    </w:rPr>
  </w:style>
  <w:style w:type="character" w:customStyle="1" w:styleId="DateChar">
    <w:name w:val="Date Char"/>
    <w:basedOn w:val="DefaultParagraphFont"/>
    <w:link w:val="Date"/>
    <w:uiPriority w:val="10"/>
    <w:rsid w:val="007F41E4"/>
    <w:rPr>
      <w:sz w:val="22"/>
      <w:szCs w:val="22"/>
    </w:rPr>
  </w:style>
  <w:style w:type="paragraph" w:customStyle="1" w:styleId="Subject3">
    <w:name w:val="Subject3"/>
    <w:basedOn w:val="BodyText"/>
    <w:next w:val="BodyTextIndented2"/>
    <w:uiPriority w:val="13"/>
    <w:rsid w:val="007F41E4"/>
    <w:pPr>
      <w:spacing w:before="60" w:after="60"/>
    </w:pPr>
    <w:rPr>
      <w:rFonts w:asciiTheme="majorHAnsi" w:hAnsiTheme="majorHAnsi"/>
      <w:color w:val="58595B" w:themeColor="text2"/>
    </w:rPr>
  </w:style>
  <w:style w:type="paragraph" w:customStyle="1" w:styleId="Reportheader">
    <w:name w:val="Report header"/>
    <w:basedOn w:val="Header"/>
    <w:uiPriority w:val="29"/>
    <w:rsid w:val="007F41E4"/>
    <w:rPr>
      <w:b/>
      <w:color w:val="78A22F" w:themeColor="accent1"/>
      <w:sz w:val="22"/>
    </w:rPr>
  </w:style>
  <w:style w:type="paragraph" w:customStyle="1" w:styleId="CoverDate0">
    <w:name w:val="Cover Date"/>
    <w:basedOn w:val="Normal"/>
    <w:next w:val="BodyText"/>
    <w:uiPriority w:val="27"/>
    <w:qFormat/>
    <w:rsid w:val="007F41E4"/>
    <w:pPr>
      <w:spacing w:before="120" w:after="120"/>
    </w:pPr>
    <w:rPr>
      <w:rFonts w:asciiTheme="majorHAnsi" w:hAnsiTheme="majorHAnsi"/>
      <w:sz w:val="36"/>
    </w:rPr>
  </w:style>
  <w:style w:type="paragraph" w:customStyle="1" w:styleId="NormalBold">
    <w:name w:val="Normal Bold"/>
    <w:basedOn w:val="Normal"/>
    <w:next w:val="Normal"/>
    <w:uiPriority w:val="5"/>
    <w:qFormat/>
    <w:rsid w:val="007F41E4"/>
    <w:rPr>
      <w:b/>
    </w:rPr>
  </w:style>
  <w:style w:type="character" w:customStyle="1" w:styleId="NormalHighlightChar">
    <w:name w:val="Normal Highlight Char"/>
    <w:basedOn w:val="DefaultParagraphFont"/>
    <w:link w:val="NormalHighlight"/>
    <w:uiPriority w:val="7"/>
    <w:rsid w:val="007F41E4"/>
    <w:rPr>
      <w:noProof/>
      <w:color w:val="78A22F" w:themeColor="accent1"/>
      <w:sz w:val="22"/>
      <w:szCs w:val="22"/>
    </w:rPr>
  </w:style>
  <w:style w:type="character" w:customStyle="1" w:styleId="BodyTextBoldChar">
    <w:name w:val="Body Text Bold Char"/>
    <w:basedOn w:val="BodyTextChar"/>
    <w:link w:val="BodyTextBold"/>
    <w:uiPriority w:val="1"/>
    <w:rsid w:val="007F41E4"/>
    <w:rPr>
      <w:b/>
      <w:noProof/>
      <w:sz w:val="22"/>
      <w:szCs w:val="22"/>
    </w:rPr>
  </w:style>
  <w:style w:type="character" w:customStyle="1" w:styleId="BodyTextHighlightChar">
    <w:name w:val="Body Text Highlight Char"/>
    <w:basedOn w:val="BodyTextChar"/>
    <w:link w:val="BodyTextHighlight"/>
    <w:uiPriority w:val="7"/>
    <w:rsid w:val="007F41E4"/>
    <w:rPr>
      <w:rFonts w:asciiTheme="majorHAnsi" w:hAnsiTheme="majorHAnsi" w:cstheme="majorHAnsi"/>
      <w:b/>
      <w:color w:val="58595B" w:themeColor="text2"/>
      <w:sz w:val="22"/>
      <w:szCs w:val="22"/>
    </w:rPr>
  </w:style>
  <w:style w:type="paragraph" w:customStyle="1" w:styleId="AFMEPagenumber">
    <w:name w:val="AFME Page number"/>
    <w:basedOn w:val="Footer"/>
    <w:uiPriority w:val="29"/>
    <w:qFormat/>
    <w:rsid w:val="007F41E4"/>
    <w:pPr>
      <w:ind w:right="0"/>
      <w:jc w:val="right"/>
    </w:pPr>
    <w:rPr>
      <w:b/>
    </w:rPr>
  </w:style>
  <w:style w:type="paragraph" w:customStyle="1" w:styleId="AFMEFullName">
    <w:name w:val="AFME Full Name"/>
    <w:basedOn w:val="BodyTextBold"/>
    <w:uiPriority w:val="29"/>
    <w:qFormat/>
    <w:rsid w:val="007F41E4"/>
    <w:pPr>
      <w:spacing w:before="400" w:after="0"/>
      <w:jc w:val="right"/>
    </w:pPr>
    <w:rPr>
      <w:sz w:val="18"/>
      <w:szCs w:val="18"/>
    </w:rPr>
  </w:style>
  <w:style w:type="paragraph" w:customStyle="1" w:styleId="AFMEContactEmail">
    <w:name w:val="AFME Contact Email"/>
    <w:basedOn w:val="NormalHighlight"/>
    <w:next w:val="Normal"/>
    <w:uiPriority w:val="28"/>
    <w:qFormat/>
    <w:rsid w:val="007F41E4"/>
    <w:pPr>
      <w:spacing w:before="120" w:after="120"/>
    </w:pPr>
  </w:style>
  <w:style w:type="paragraph" w:customStyle="1" w:styleId="FooterLegal-letter">
    <w:name w:val="Footer Legal -  letter"/>
    <w:basedOn w:val="FooterOffices"/>
    <w:uiPriority w:val="29"/>
    <w:rsid w:val="007F41E4"/>
    <w:pPr>
      <w:spacing w:line="180" w:lineRule="atLeast"/>
      <w:ind w:left="-794"/>
    </w:pPr>
    <w:rPr>
      <w:sz w:val="14"/>
    </w:rPr>
  </w:style>
  <w:style w:type="paragraph" w:customStyle="1" w:styleId="FooterHeading-letter">
    <w:name w:val="Footer Heading - letter"/>
    <w:basedOn w:val="FooterHeading"/>
    <w:uiPriority w:val="29"/>
    <w:qFormat/>
    <w:rsid w:val="007F41E4"/>
    <w:pPr>
      <w:ind w:left="-794"/>
    </w:pPr>
  </w:style>
  <w:style w:type="paragraph" w:customStyle="1" w:styleId="FooterOffices-letter">
    <w:name w:val="Footer Offices - letter"/>
    <w:basedOn w:val="FooterOffices"/>
    <w:uiPriority w:val="29"/>
    <w:qFormat/>
    <w:rsid w:val="007F41E4"/>
    <w:pPr>
      <w:ind w:left="-794"/>
    </w:pPr>
  </w:style>
  <w:style w:type="paragraph" w:customStyle="1" w:styleId="Default">
    <w:name w:val="Default"/>
    <w:rsid w:val="00AE267C"/>
    <w:pPr>
      <w:autoSpaceDE w:val="0"/>
      <w:autoSpaceDN w:val="0"/>
      <w:adjustRightInd w:val="0"/>
      <w:spacing w:before="120"/>
      <w:jc w:val="both"/>
    </w:pPr>
    <w:rPr>
      <w:rFonts w:ascii="Cambria" w:eastAsiaTheme="minorHAnsi" w:hAnsi="Cambria" w:cs="Cambria"/>
      <w:color w:val="000000"/>
      <w:sz w:val="24"/>
      <w:szCs w:val="24"/>
      <w:lang w:val="en-US" w:eastAsia="en-US"/>
    </w:rPr>
  </w:style>
  <w:style w:type="character" w:styleId="UnresolvedMention">
    <w:name w:val="Unresolved Mention"/>
    <w:basedOn w:val="DefaultParagraphFont"/>
    <w:uiPriority w:val="99"/>
    <w:semiHidden/>
    <w:unhideWhenUsed/>
    <w:rsid w:val="00622EC6"/>
    <w:rPr>
      <w:color w:val="605E5C"/>
      <w:shd w:val="clear" w:color="auto" w:fill="E1DFDD"/>
    </w:rPr>
  </w:style>
  <w:style w:type="paragraph" w:customStyle="1" w:styleId="Body">
    <w:name w:val="Body"/>
    <w:basedOn w:val="Normal"/>
    <w:rsid w:val="000B1560"/>
    <w:pPr>
      <w:spacing w:after="140" w:line="288" w:lineRule="auto"/>
      <w:jc w:val="both"/>
    </w:pPr>
    <w:rPr>
      <w:rFonts w:ascii="Arial" w:eastAsiaTheme="minorHAnsi" w:hAnsi="Arial"/>
      <w:kern w:val="20"/>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440589">
      <w:bodyDiv w:val="1"/>
      <w:marLeft w:val="0"/>
      <w:marRight w:val="0"/>
      <w:marTop w:val="0"/>
      <w:marBottom w:val="0"/>
      <w:divBdr>
        <w:top w:val="none" w:sz="0" w:space="0" w:color="auto"/>
        <w:left w:val="none" w:sz="0" w:space="0" w:color="auto"/>
        <w:bottom w:val="none" w:sz="0" w:space="0" w:color="auto"/>
        <w:right w:val="none" w:sz="0" w:space="0" w:color="auto"/>
      </w:divBdr>
    </w:div>
    <w:div w:id="120725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chel.sumption@afme.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iver.moullin@afme.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AFME">
  <a:themeElements>
    <a:clrScheme name="AFME">
      <a:dk1>
        <a:sysClr val="windowText" lastClr="000000"/>
      </a:dk1>
      <a:lt1>
        <a:sysClr val="window" lastClr="FFFFFF"/>
      </a:lt1>
      <a:dk2>
        <a:srgbClr val="58595B"/>
      </a:dk2>
      <a:lt2>
        <a:srgbClr val="CFD0D2"/>
      </a:lt2>
      <a:accent1>
        <a:srgbClr val="78A22F"/>
      </a:accent1>
      <a:accent2>
        <a:srgbClr val="C9DAAC"/>
      </a:accent2>
      <a:accent3>
        <a:srgbClr val="CFD0D2"/>
      </a:accent3>
      <a:accent4>
        <a:srgbClr val="A7A9AC"/>
      </a:accent4>
      <a:accent5>
        <a:srgbClr val="808285"/>
      </a:accent5>
      <a:accent6>
        <a:srgbClr val="58595B"/>
      </a:accent6>
      <a:hlink>
        <a:srgbClr val="0000FF"/>
      </a:hlink>
      <a:folHlink>
        <a:srgbClr val="800080"/>
      </a:folHlink>
    </a:clrScheme>
    <a:fontScheme name="AFME">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AFME" id="{46E60531-B48E-4EE8-9BA3-C3F6A6429AB7}" vid="{DFAD1022-53B1-402F-87A4-C9D8E056B10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73DEECFA803E40AA2BFA20CCFC9CFC" ma:contentTypeVersion="18" ma:contentTypeDescription="Create a new document." ma:contentTypeScope="" ma:versionID="034e6eb8d652be1091bbb9ab1cc07680">
  <xsd:schema xmlns:xsd="http://www.w3.org/2001/XMLSchema" xmlns:xs="http://www.w3.org/2001/XMLSchema" xmlns:p="http://schemas.microsoft.com/office/2006/metadata/properties" xmlns:ns2="8b525a68-7d0d-4903-a937-95918a9ddb70" xmlns:ns3="c77ec181-6fae-4e7c-989d-92172d3be6e9" targetNamespace="http://schemas.microsoft.com/office/2006/metadata/properties" ma:root="true" ma:fieldsID="fc2472c3dad2595035dc09e27d6a0b40" ns2:_="" ns3:_="">
    <xsd:import namespace="8b525a68-7d0d-4903-a937-95918a9ddb70"/>
    <xsd:import namespace="c77ec181-6fae-4e7c-989d-92172d3be6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525a68-7d0d-4903-a937-95918a9dd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1bac71f-1506-44ff-98a5-aaeca32acec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7ec181-6fae-4e7c-989d-92172d3be6e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4fe8174-ea24-4e3a-bf42-601e82aaaf1e}" ma:internalName="TaxCatchAll" ma:showField="CatchAllData" ma:web="c77ec181-6fae-4e7c-989d-92172d3be6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b525a68-7d0d-4903-a937-95918a9ddb70">
      <Terms xmlns="http://schemas.microsoft.com/office/infopath/2007/PartnerControls"/>
    </lcf76f155ced4ddcb4097134ff3c332f>
    <TaxCatchAll xmlns="c77ec181-6fae-4e7c-989d-92172d3be6e9" xsi:nil="true"/>
  </documentManagement>
</p:properties>
</file>

<file path=customXml/itemProps1.xml><?xml version="1.0" encoding="utf-8"?>
<ds:datastoreItem xmlns:ds="http://schemas.openxmlformats.org/officeDocument/2006/customXml" ds:itemID="{486081CE-0271-4721-AF94-C3BDF29CE3F2}">
  <ds:schemaRefs>
    <ds:schemaRef ds:uri="http://schemas.openxmlformats.org/officeDocument/2006/bibliography"/>
  </ds:schemaRefs>
</ds:datastoreItem>
</file>

<file path=customXml/itemProps2.xml><?xml version="1.0" encoding="utf-8"?>
<ds:datastoreItem xmlns:ds="http://schemas.openxmlformats.org/officeDocument/2006/customXml" ds:itemID="{7ACBDEC0-770A-4F58-A574-6D29C6419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525a68-7d0d-4903-a937-95918a9ddb70"/>
    <ds:schemaRef ds:uri="c77ec181-6fae-4e7c-989d-92172d3be6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A9687B-5F6F-45AA-A0FA-849D5A334148}">
  <ds:schemaRefs>
    <ds:schemaRef ds:uri="http://schemas.microsoft.com/sharepoint/v3/contenttype/forms"/>
  </ds:schemaRefs>
</ds:datastoreItem>
</file>

<file path=customXml/itemProps4.xml><?xml version="1.0" encoding="utf-8"?>
<ds:datastoreItem xmlns:ds="http://schemas.openxmlformats.org/officeDocument/2006/customXml" ds:itemID="{AD1FAD3B-D102-43F6-9C2A-E19326C12546}">
  <ds:schemaRefs>
    <ds:schemaRef ds:uri="http://schemas.microsoft.com/office/2006/metadata/properties"/>
    <ds:schemaRef ds:uri="http://schemas.microsoft.com/office/infopath/2007/PartnerControls"/>
    <ds:schemaRef ds:uri="8b525a68-7d0d-4903-a937-95918a9ddb70"/>
    <ds:schemaRef ds:uri="c77ec181-6fae-4e7c-989d-92172d3be6e9"/>
  </ds:schemaRefs>
</ds:datastoreItem>
</file>

<file path=docProps/app.xml><?xml version="1.0" encoding="utf-8"?>
<Properties xmlns="http://schemas.openxmlformats.org/officeDocument/2006/extended-properties" xmlns:vt="http://schemas.openxmlformats.org/officeDocument/2006/docPropsVTypes">
  <Template>AFME cross-cutting feedback on draft IG</Template>
  <TotalTime>3</TotalTime>
  <Pages>2</Pages>
  <Words>888</Words>
  <Characters>5064</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Capgemini UK plc</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 Blogg</dc:creator>
  <cp:lastModifiedBy>Rachel Sumption</cp:lastModifiedBy>
  <cp:revision>2</cp:revision>
  <cp:lastPrinted>2015-10-27T19:53:00Z</cp:lastPrinted>
  <dcterms:created xsi:type="dcterms:W3CDTF">2024-02-02T11:24:00Z</dcterms:created>
  <dcterms:modified xsi:type="dcterms:W3CDTF">2024-02-02T11:24:00Z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0x01010073C947899C028A419D67179A3CA406F9</vt:lpwstr>
  </property>
</Properties>
</file>