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54C13" w14:textId="77777777" w:rsidR="008E444C" w:rsidRPr="0083695F" w:rsidRDefault="008E444C" w:rsidP="00E43DE6">
      <w:pPr>
        <w:spacing w:after="120" w:line="360" w:lineRule="auto"/>
        <w:ind w:left="-142"/>
        <w:rPr>
          <w:rFonts w:ascii="Arial" w:hAnsi="Arial" w:cs="Arial"/>
          <w:b/>
          <w:sz w:val="20"/>
          <w:szCs w:val="20"/>
          <w:lang w:val="en-GB"/>
        </w:rPr>
      </w:pPr>
      <w:r w:rsidRPr="0083695F">
        <w:rPr>
          <w:rFonts w:ascii="Arial" w:hAnsi="Arial" w:cs="Arial"/>
          <w:noProof/>
          <w:sz w:val="20"/>
          <w:szCs w:val="20"/>
          <w:lang w:val="en-GB" w:eastAsia="en-GB"/>
        </w:rPr>
        <w:drawing>
          <wp:inline distT="0" distB="0" distL="0" distR="0" wp14:anchorId="3B363111" wp14:editId="29052348">
            <wp:extent cx="2280920" cy="962660"/>
            <wp:effectExtent l="0" t="0" r="508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0920" cy="962660"/>
                    </a:xfrm>
                    <a:prstGeom prst="rect">
                      <a:avLst/>
                    </a:prstGeom>
                    <a:noFill/>
                    <a:ln>
                      <a:noFill/>
                    </a:ln>
                  </pic:spPr>
                </pic:pic>
              </a:graphicData>
            </a:graphic>
          </wp:inline>
        </w:drawing>
      </w:r>
    </w:p>
    <w:p w14:paraId="16BB652B" w14:textId="725A615A" w:rsidR="00D942EE" w:rsidRPr="0083695F" w:rsidRDefault="00A537AA" w:rsidP="00A537AA">
      <w:pPr>
        <w:tabs>
          <w:tab w:val="left" w:pos="1134"/>
        </w:tabs>
        <w:spacing w:after="120" w:line="360" w:lineRule="auto"/>
        <w:rPr>
          <w:rFonts w:ascii="Arial" w:hAnsi="Arial" w:cs="Arial"/>
          <w:bCs/>
          <w:sz w:val="20"/>
          <w:szCs w:val="20"/>
          <w:lang w:val="en-GB"/>
        </w:rPr>
      </w:pPr>
      <w:r w:rsidRPr="0083695F">
        <w:rPr>
          <w:rFonts w:ascii="Arial" w:hAnsi="Arial" w:cs="Arial"/>
          <w:bCs/>
          <w:sz w:val="20"/>
          <w:szCs w:val="20"/>
          <w:lang w:val="en-GB"/>
        </w:rPr>
        <w:t>To the Secretariat of EFRAG</w:t>
      </w:r>
      <w:r w:rsidRPr="0083695F">
        <w:rPr>
          <w:rFonts w:ascii="Arial" w:hAnsi="Arial" w:cs="Arial"/>
          <w:bCs/>
          <w:sz w:val="20"/>
          <w:szCs w:val="20"/>
          <w:lang w:val="en-GB"/>
        </w:rPr>
        <w:br/>
        <w:t>Brussels, Belgium</w:t>
      </w:r>
    </w:p>
    <w:p w14:paraId="325EA222" w14:textId="77777777" w:rsidR="00ED776B" w:rsidRPr="0083695F" w:rsidRDefault="00ED776B" w:rsidP="00F73C35">
      <w:pPr>
        <w:tabs>
          <w:tab w:val="left" w:pos="1134"/>
        </w:tabs>
        <w:spacing w:after="120" w:line="360" w:lineRule="auto"/>
        <w:rPr>
          <w:rFonts w:ascii="Arial" w:hAnsi="Arial" w:cs="Arial"/>
          <w:bCs/>
          <w:sz w:val="20"/>
          <w:szCs w:val="20"/>
          <w:lang w:val="en-GB"/>
        </w:rPr>
      </w:pPr>
    </w:p>
    <w:p w14:paraId="5BF9BD72" w14:textId="0C0E726B" w:rsidR="00F73C35" w:rsidRPr="0083695F" w:rsidRDefault="0067419E" w:rsidP="00F73C35">
      <w:pPr>
        <w:tabs>
          <w:tab w:val="left" w:pos="1134"/>
        </w:tabs>
        <w:spacing w:after="120" w:line="360" w:lineRule="auto"/>
        <w:rPr>
          <w:rFonts w:ascii="Arial" w:hAnsi="Arial" w:cs="Arial"/>
          <w:bCs/>
          <w:sz w:val="20"/>
          <w:szCs w:val="20"/>
          <w:u w:val="single"/>
          <w:lang w:val="en-GB"/>
        </w:rPr>
      </w:pPr>
      <w:r w:rsidRPr="0083695F">
        <w:rPr>
          <w:rFonts w:ascii="Arial" w:hAnsi="Arial" w:cs="Arial"/>
          <w:bCs/>
          <w:sz w:val="20"/>
          <w:szCs w:val="20"/>
          <w:lang w:val="en-GB"/>
        </w:rPr>
        <w:br/>
      </w:r>
      <w:r w:rsidR="00A537AA" w:rsidRPr="0083695F">
        <w:rPr>
          <w:rFonts w:ascii="Arial" w:hAnsi="Arial" w:cs="Arial"/>
          <w:bCs/>
          <w:sz w:val="20"/>
          <w:szCs w:val="20"/>
          <w:lang w:val="en-GB"/>
        </w:rPr>
        <w:t>Submitted electronically</w:t>
      </w:r>
    </w:p>
    <w:p w14:paraId="3B8B4B31" w14:textId="77777777" w:rsidR="00ED776B" w:rsidRPr="0083695F" w:rsidRDefault="00ED776B" w:rsidP="0067419E">
      <w:pPr>
        <w:tabs>
          <w:tab w:val="left" w:pos="1134"/>
        </w:tabs>
        <w:spacing w:after="120" w:line="360" w:lineRule="auto"/>
        <w:rPr>
          <w:rFonts w:ascii="Arial" w:hAnsi="Arial" w:cs="Arial"/>
          <w:bCs/>
          <w:sz w:val="20"/>
          <w:szCs w:val="20"/>
          <w:lang w:val="en-GB"/>
        </w:rPr>
      </w:pPr>
    </w:p>
    <w:p w14:paraId="4FD5C51C" w14:textId="1FF4699A" w:rsidR="00A537AA" w:rsidRPr="0083695F" w:rsidRDefault="0067419E" w:rsidP="0067419E">
      <w:pPr>
        <w:tabs>
          <w:tab w:val="left" w:pos="1134"/>
        </w:tabs>
        <w:spacing w:after="120" w:line="360" w:lineRule="auto"/>
        <w:rPr>
          <w:rFonts w:ascii="Arial" w:hAnsi="Arial" w:cs="Arial"/>
          <w:bCs/>
          <w:sz w:val="20"/>
          <w:szCs w:val="20"/>
          <w:lang w:val="en-GB"/>
        </w:rPr>
      </w:pPr>
      <w:r w:rsidRPr="0083695F">
        <w:rPr>
          <w:rFonts w:ascii="Arial" w:hAnsi="Arial" w:cs="Arial"/>
          <w:bCs/>
          <w:sz w:val="20"/>
          <w:szCs w:val="20"/>
          <w:lang w:val="en-GB"/>
        </w:rPr>
        <w:br/>
      </w:r>
      <w:r w:rsidR="00D942EE" w:rsidRPr="0083695F">
        <w:rPr>
          <w:rFonts w:ascii="Arial" w:hAnsi="Arial" w:cs="Arial"/>
          <w:bCs/>
          <w:sz w:val="20"/>
          <w:szCs w:val="20"/>
          <w:lang w:val="en-GB"/>
        </w:rPr>
        <w:t>Subject</w:t>
      </w:r>
      <w:r w:rsidR="00CA0E7B" w:rsidRPr="0083695F">
        <w:rPr>
          <w:rFonts w:ascii="Arial" w:hAnsi="Arial" w:cs="Arial"/>
          <w:bCs/>
          <w:sz w:val="20"/>
          <w:szCs w:val="20"/>
          <w:lang w:val="en-GB"/>
        </w:rPr>
        <w:t>:</w:t>
      </w:r>
      <w:r w:rsidR="00CA0E7B" w:rsidRPr="0083695F">
        <w:rPr>
          <w:rFonts w:ascii="Arial" w:hAnsi="Arial" w:cs="Arial"/>
          <w:bCs/>
          <w:sz w:val="20"/>
          <w:szCs w:val="20"/>
          <w:lang w:val="en-GB"/>
        </w:rPr>
        <w:tab/>
      </w:r>
      <w:r w:rsidR="00D942EE" w:rsidRPr="0083695F">
        <w:rPr>
          <w:rFonts w:ascii="Arial" w:hAnsi="Arial" w:cs="Arial"/>
          <w:bCs/>
          <w:sz w:val="20"/>
          <w:szCs w:val="20"/>
          <w:lang w:val="en-GB"/>
        </w:rPr>
        <w:t xml:space="preserve">Eumedion response to </w:t>
      </w:r>
      <w:r w:rsidR="00A537AA" w:rsidRPr="0083695F">
        <w:rPr>
          <w:rFonts w:ascii="Arial" w:hAnsi="Arial" w:cs="Arial"/>
          <w:bCs/>
          <w:sz w:val="20"/>
          <w:szCs w:val="20"/>
          <w:lang w:val="en-GB"/>
        </w:rPr>
        <w:t>EFRAG’s Draft Implementation Guidance Value Chain</w:t>
      </w:r>
      <w:r w:rsidR="00CA0E7B" w:rsidRPr="0083695F">
        <w:rPr>
          <w:rFonts w:ascii="Arial" w:hAnsi="Arial" w:cs="Arial"/>
          <w:bCs/>
          <w:sz w:val="20"/>
          <w:szCs w:val="20"/>
          <w:lang w:val="en-GB"/>
        </w:rPr>
        <w:br/>
      </w:r>
    </w:p>
    <w:p w14:paraId="794ADA1B" w14:textId="2E1D549C" w:rsidR="00ED776B" w:rsidRPr="0083695F" w:rsidRDefault="006438FA" w:rsidP="0067419E">
      <w:pPr>
        <w:tabs>
          <w:tab w:val="left" w:pos="1134"/>
        </w:tabs>
        <w:spacing w:after="120" w:line="360" w:lineRule="auto"/>
        <w:rPr>
          <w:rFonts w:ascii="Arial" w:hAnsi="Arial" w:cs="Arial"/>
          <w:bCs/>
          <w:sz w:val="20"/>
          <w:szCs w:val="20"/>
          <w:lang w:val="en-GB"/>
        </w:rPr>
      </w:pPr>
      <w:r w:rsidRPr="0083695F">
        <w:rPr>
          <w:rFonts w:ascii="Arial" w:hAnsi="Arial" w:cs="Arial"/>
          <w:bCs/>
          <w:sz w:val="20"/>
          <w:szCs w:val="20"/>
          <w:lang w:val="en-GB"/>
        </w:rPr>
        <w:t>Ref</w:t>
      </w:r>
      <w:r w:rsidR="00D942EE" w:rsidRPr="0083695F">
        <w:rPr>
          <w:rFonts w:ascii="Arial" w:hAnsi="Arial" w:cs="Arial"/>
          <w:bCs/>
          <w:sz w:val="20"/>
          <w:szCs w:val="20"/>
          <w:lang w:val="en-GB"/>
        </w:rPr>
        <w:t>erence</w:t>
      </w:r>
      <w:r w:rsidRPr="0083695F">
        <w:rPr>
          <w:rFonts w:ascii="Arial" w:hAnsi="Arial" w:cs="Arial"/>
          <w:bCs/>
          <w:sz w:val="20"/>
          <w:szCs w:val="20"/>
          <w:lang w:val="en-GB"/>
        </w:rPr>
        <w:t>:</w:t>
      </w:r>
      <w:r w:rsidR="00FC0097" w:rsidRPr="0083695F">
        <w:rPr>
          <w:rFonts w:ascii="Arial" w:hAnsi="Arial" w:cs="Arial"/>
          <w:bCs/>
          <w:sz w:val="20"/>
          <w:szCs w:val="20"/>
          <w:lang w:val="en-GB"/>
        </w:rPr>
        <w:tab/>
      </w:r>
      <w:r w:rsidRPr="0083695F">
        <w:rPr>
          <w:rFonts w:ascii="Arial" w:hAnsi="Arial" w:cs="Arial"/>
          <w:bCs/>
          <w:sz w:val="20"/>
          <w:szCs w:val="20"/>
          <w:lang w:val="en-GB"/>
        </w:rPr>
        <w:t>B2</w:t>
      </w:r>
      <w:r w:rsidR="00A537AA" w:rsidRPr="0083695F">
        <w:rPr>
          <w:rFonts w:ascii="Arial" w:hAnsi="Arial" w:cs="Arial"/>
          <w:bCs/>
          <w:sz w:val="20"/>
          <w:szCs w:val="20"/>
          <w:lang w:val="en-GB"/>
        </w:rPr>
        <w:t>4</w:t>
      </w:r>
      <w:r w:rsidRPr="0083695F">
        <w:rPr>
          <w:rFonts w:ascii="Arial" w:hAnsi="Arial" w:cs="Arial"/>
          <w:bCs/>
          <w:sz w:val="20"/>
          <w:szCs w:val="20"/>
          <w:lang w:val="en-GB"/>
        </w:rPr>
        <w:t>.</w:t>
      </w:r>
      <w:r w:rsidR="005A72E1">
        <w:rPr>
          <w:rFonts w:ascii="Arial" w:hAnsi="Arial" w:cs="Arial"/>
          <w:bCs/>
          <w:sz w:val="20"/>
          <w:szCs w:val="20"/>
          <w:lang w:val="en-GB"/>
        </w:rPr>
        <w:t>03</w:t>
      </w:r>
      <w:r w:rsidR="0067419E" w:rsidRPr="0083695F">
        <w:rPr>
          <w:rFonts w:ascii="Arial" w:hAnsi="Arial" w:cs="Arial"/>
          <w:bCs/>
          <w:sz w:val="20"/>
          <w:szCs w:val="20"/>
          <w:lang w:val="en-GB"/>
        </w:rPr>
        <w:br/>
      </w:r>
    </w:p>
    <w:p w14:paraId="0F6C29FC" w14:textId="77777777" w:rsidR="00D424B3" w:rsidRDefault="00D424B3" w:rsidP="0067419E">
      <w:pPr>
        <w:tabs>
          <w:tab w:val="left" w:pos="1134"/>
        </w:tabs>
        <w:spacing w:after="120" w:line="360" w:lineRule="auto"/>
        <w:rPr>
          <w:rFonts w:ascii="Arial" w:hAnsi="Arial" w:cs="Arial"/>
          <w:bCs/>
          <w:sz w:val="20"/>
          <w:szCs w:val="20"/>
          <w:lang w:val="en-GB"/>
        </w:rPr>
      </w:pPr>
    </w:p>
    <w:p w14:paraId="4B268780" w14:textId="77777777" w:rsidR="002C1732" w:rsidRPr="0083695F" w:rsidRDefault="002C1732" w:rsidP="0067419E">
      <w:pPr>
        <w:tabs>
          <w:tab w:val="left" w:pos="1134"/>
        </w:tabs>
        <w:spacing w:after="120" w:line="360" w:lineRule="auto"/>
        <w:rPr>
          <w:rFonts w:ascii="Arial" w:hAnsi="Arial" w:cs="Arial"/>
          <w:bCs/>
          <w:sz w:val="20"/>
          <w:szCs w:val="20"/>
          <w:lang w:val="en-GB"/>
        </w:rPr>
      </w:pPr>
    </w:p>
    <w:p w14:paraId="2600E275" w14:textId="5EA8C801" w:rsidR="00D942EE" w:rsidRPr="0083695F" w:rsidRDefault="00D942EE" w:rsidP="00D942EE">
      <w:pPr>
        <w:rPr>
          <w:rFonts w:ascii="Arial" w:hAnsi="Arial" w:cs="Arial"/>
          <w:sz w:val="20"/>
          <w:szCs w:val="20"/>
          <w:lang w:val="en-GB"/>
        </w:rPr>
      </w:pPr>
      <w:r w:rsidRPr="0083695F">
        <w:rPr>
          <w:rFonts w:ascii="Arial" w:hAnsi="Arial" w:cs="Arial"/>
          <w:sz w:val="20"/>
          <w:szCs w:val="20"/>
          <w:lang w:val="en-GB"/>
        </w:rPr>
        <w:t xml:space="preserve">The Hague, </w:t>
      </w:r>
      <w:r w:rsidR="009878E8">
        <w:rPr>
          <w:rFonts w:ascii="Arial" w:hAnsi="Arial" w:cs="Arial"/>
          <w:sz w:val="20"/>
          <w:szCs w:val="20"/>
          <w:lang w:val="en-GB"/>
        </w:rPr>
        <w:t xml:space="preserve">2 </w:t>
      </w:r>
      <w:r w:rsidR="00A537AA" w:rsidRPr="0083695F">
        <w:rPr>
          <w:rFonts w:ascii="Arial" w:hAnsi="Arial" w:cs="Arial"/>
          <w:sz w:val="20"/>
          <w:szCs w:val="20"/>
          <w:lang w:val="en-GB"/>
        </w:rPr>
        <w:t>February</w:t>
      </w:r>
      <w:r w:rsidRPr="0083695F">
        <w:rPr>
          <w:rFonts w:ascii="Arial" w:hAnsi="Arial" w:cs="Arial"/>
          <w:sz w:val="20"/>
          <w:szCs w:val="20"/>
          <w:lang w:val="en-GB"/>
        </w:rPr>
        <w:t>, 202</w:t>
      </w:r>
      <w:r w:rsidR="00A537AA" w:rsidRPr="0083695F">
        <w:rPr>
          <w:rFonts w:ascii="Arial" w:hAnsi="Arial" w:cs="Arial"/>
          <w:sz w:val="20"/>
          <w:szCs w:val="20"/>
          <w:lang w:val="en-GB"/>
        </w:rPr>
        <w:t>4</w:t>
      </w:r>
    </w:p>
    <w:p w14:paraId="119D2044" w14:textId="1BDEDC94" w:rsidR="00D942EE" w:rsidRPr="0083695F" w:rsidRDefault="00A537AA" w:rsidP="00FD2C6E">
      <w:pPr>
        <w:spacing w:after="120" w:line="360" w:lineRule="auto"/>
        <w:rPr>
          <w:rFonts w:ascii="Arial" w:hAnsi="Arial" w:cs="Arial"/>
          <w:sz w:val="20"/>
          <w:szCs w:val="20"/>
          <w:lang w:val="en-GB"/>
        </w:rPr>
      </w:pPr>
      <w:r w:rsidRPr="0083695F">
        <w:rPr>
          <w:rFonts w:ascii="Arial" w:hAnsi="Arial" w:cs="Arial"/>
          <w:sz w:val="20"/>
          <w:szCs w:val="20"/>
          <w:lang w:val="en-GB"/>
        </w:rPr>
        <w:br/>
      </w:r>
      <w:r w:rsidR="00D942EE" w:rsidRPr="0083695F">
        <w:rPr>
          <w:rFonts w:ascii="Arial" w:hAnsi="Arial" w:cs="Arial"/>
          <w:sz w:val="20"/>
          <w:szCs w:val="20"/>
          <w:lang w:val="en-GB"/>
        </w:rPr>
        <w:t xml:space="preserve">Dear </w:t>
      </w:r>
      <w:r w:rsidRPr="0083695F">
        <w:rPr>
          <w:rFonts w:ascii="Arial" w:hAnsi="Arial" w:cs="Arial"/>
          <w:sz w:val="20"/>
          <w:szCs w:val="20"/>
          <w:lang w:val="en-GB"/>
        </w:rPr>
        <w:t>Sir, Madam</w:t>
      </w:r>
      <w:r w:rsidR="00D942EE" w:rsidRPr="0083695F">
        <w:rPr>
          <w:rFonts w:ascii="Arial" w:hAnsi="Arial" w:cs="Arial"/>
          <w:sz w:val="20"/>
          <w:szCs w:val="20"/>
          <w:lang w:val="en-GB"/>
        </w:rPr>
        <w:t>,</w:t>
      </w:r>
    </w:p>
    <w:p w14:paraId="68E8AA27" w14:textId="529F7A31" w:rsidR="00A537AA" w:rsidRPr="0083695F" w:rsidRDefault="00D942EE" w:rsidP="00A537AA">
      <w:pPr>
        <w:spacing w:after="120" w:line="360" w:lineRule="auto"/>
        <w:rPr>
          <w:rFonts w:ascii="Arial" w:hAnsi="Arial" w:cs="Arial"/>
          <w:sz w:val="20"/>
          <w:szCs w:val="20"/>
          <w:lang w:val="en-GB"/>
        </w:rPr>
      </w:pPr>
      <w:r w:rsidRPr="0083695F">
        <w:rPr>
          <w:rFonts w:ascii="Arial" w:hAnsi="Arial" w:cs="Arial"/>
          <w:sz w:val="20"/>
          <w:szCs w:val="20"/>
          <w:lang w:val="en-GB"/>
        </w:rPr>
        <w:t xml:space="preserve">Eumedion appreciates the opportunity to comment on </w:t>
      </w:r>
      <w:r w:rsidR="00904678" w:rsidRPr="0083695F">
        <w:rPr>
          <w:rFonts w:ascii="Arial" w:hAnsi="Arial" w:cs="Arial"/>
          <w:sz w:val="20"/>
          <w:szCs w:val="20"/>
          <w:lang w:val="en-GB"/>
        </w:rPr>
        <w:t xml:space="preserve">EFRAG’s </w:t>
      </w:r>
      <w:r w:rsidR="00A537AA" w:rsidRPr="0083695F">
        <w:rPr>
          <w:rFonts w:ascii="Arial" w:hAnsi="Arial" w:cs="Arial"/>
          <w:sz w:val="20"/>
          <w:szCs w:val="20"/>
          <w:lang w:val="en-GB"/>
        </w:rPr>
        <w:t>Draft Implementation Guidance Value Chain (‘Draft Guidance’)</w:t>
      </w:r>
      <w:r w:rsidRPr="0083695F">
        <w:rPr>
          <w:rFonts w:ascii="Arial" w:hAnsi="Arial" w:cs="Arial"/>
          <w:sz w:val="20"/>
          <w:szCs w:val="20"/>
          <w:lang w:val="en-GB"/>
        </w:rPr>
        <w:t xml:space="preserve">. </w:t>
      </w:r>
      <w:r w:rsidR="00A537AA" w:rsidRPr="0083695F">
        <w:rPr>
          <w:rFonts w:ascii="Arial" w:hAnsi="Arial" w:cs="Arial"/>
          <w:sz w:val="20"/>
          <w:szCs w:val="20"/>
          <w:lang w:val="en-GB"/>
        </w:rPr>
        <w:t xml:space="preserve">We understand that the Implementation </w:t>
      </w:r>
      <w:r w:rsidR="006B5455" w:rsidRPr="0083695F">
        <w:rPr>
          <w:rFonts w:ascii="Arial" w:hAnsi="Arial" w:cs="Arial"/>
          <w:sz w:val="20"/>
          <w:szCs w:val="20"/>
          <w:lang w:val="en-GB"/>
        </w:rPr>
        <w:t xml:space="preserve">Guidance </w:t>
      </w:r>
      <w:r w:rsidR="00A537AA" w:rsidRPr="0083695F">
        <w:rPr>
          <w:rFonts w:ascii="Arial" w:hAnsi="Arial" w:cs="Arial"/>
          <w:sz w:val="20"/>
          <w:szCs w:val="20"/>
          <w:lang w:val="en-GB"/>
        </w:rPr>
        <w:t xml:space="preserve">may prove to be helpful to stakeholders in providing an well readable overview of the </w:t>
      </w:r>
      <w:r w:rsidR="00FC4FD9" w:rsidRPr="0083695F">
        <w:rPr>
          <w:rFonts w:ascii="Arial" w:hAnsi="Arial" w:cs="Arial"/>
          <w:sz w:val="20"/>
          <w:szCs w:val="20"/>
          <w:lang w:val="en-GB"/>
        </w:rPr>
        <w:t>European Sustainability Reporting Standards (ESRSs)</w:t>
      </w:r>
      <w:r w:rsidR="00A537AA" w:rsidRPr="0083695F">
        <w:rPr>
          <w:rFonts w:ascii="Arial" w:hAnsi="Arial" w:cs="Arial"/>
          <w:sz w:val="20"/>
          <w:szCs w:val="20"/>
          <w:lang w:val="en-GB"/>
        </w:rPr>
        <w:t xml:space="preserve"> and provide suggestions on how to implement them, on a non-authoritative basis. The Draft Guidance, and the feedback received on it, may even help inspire suggestions for future improvements to the actual ESRSs themselves. In this light, we decided to highlight one pressing issue to you, for your consideration.</w:t>
      </w:r>
    </w:p>
    <w:p w14:paraId="55C24290" w14:textId="155E6158" w:rsidR="00A537AA" w:rsidRPr="0083695F" w:rsidRDefault="00A537AA" w:rsidP="00A537AA">
      <w:pPr>
        <w:spacing w:after="120" w:line="360" w:lineRule="auto"/>
        <w:rPr>
          <w:rFonts w:ascii="Arial" w:hAnsi="Arial" w:cs="Arial"/>
          <w:sz w:val="20"/>
          <w:szCs w:val="20"/>
          <w:lang w:val="en-GB"/>
        </w:rPr>
      </w:pPr>
      <w:r w:rsidRPr="0083695F">
        <w:rPr>
          <w:rFonts w:ascii="Arial" w:hAnsi="Arial" w:cs="Arial"/>
          <w:sz w:val="20"/>
          <w:szCs w:val="20"/>
          <w:lang w:val="en-GB"/>
        </w:rPr>
        <w:t>Eumedion is the dedicated representative of the interests of 53 institutional investors, all of whom are committed to a long term investment horizon. Collectively, our participants invest over € 8 trillion of capital in equity and corporate non-equity instruments. Eumedion aims to promote good corporate governance and corporate sustainability at the companies our participants invest in.</w:t>
      </w:r>
    </w:p>
    <w:p w14:paraId="075924F1" w14:textId="77777777" w:rsidR="004002AC" w:rsidRPr="0083695F" w:rsidRDefault="00A537AA" w:rsidP="00A537AA">
      <w:pPr>
        <w:spacing w:after="120" w:line="360" w:lineRule="auto"/>
        <w:rPr>
          <w:rFonts w:ascii="Arial" w:hAnsi="Arial" w:cs="Arial"/>
          <w:sz w:val="20"/>
          <w:szCs w:val="20"/>
          <w:lang w:val="en-GB"/>
        </w:rPr>
      </w:pPr>
      <w:r w:rsidRPr="0083695F">
        <w:rPr>
          <w:rFonts w:ascii="Arial" w:hAnsi="Arial" w:cs="Arial"/>
          <w:sz w:val="20"/>
          <w:szCs w:val="20"/>
          <w:lang w:val="en-GB"/>
        </w:rPr>
        <w:t>The key issue we wish to highlight to you is related to Chapter 3</w:t>
      </w:r>
      <w:r w:rsidR="004002AC" w:rsidRPr="0083695F">
        <w:rPr>
          <w:rFonts w:ascii="Arial" w:hAnsi="Arial" w:cs="Arial"/>
          <w:sz w:val="20"/>
          <w:szCs w:val="20"/>
          <w:lang w:val="en-GB"/>
        </w:rPr>
        <w:t>, FAQ 2:</w:t>
      </w:r>
    </w:p>
    <w:p w14:paraId="22FC3867" w14:textId="0453950C" w:rsidR="00A537AA" w:rsidRPr="0083695F" w:rsidRDefault="00A537AA" w:rsidP="004002AC">
      <w:pPr>
        <w:spacing w:after="120" w:line="360" w:lineRule="auto"/>
        <w:ind w:left="720"/>
        <w:rPr>
          <w:rFonts w:ascii="Arial" w:hAnsi="Arial" w:cs="Arial"/>
          <w:sz w:val="20"/>
          <w:szCs w:val="20"/>
          <w:lang w:val="en-GB"/>
        </w:rPr>
      </w:pPr>
      <w:r w:rsidRPr="0083695F">
        <w:rPr>
          <w:rFonts w:ascii="Arial" w:hAnsi="Arial" w:cs="Arial"/>
          <w:i/>
          <w:iCs/>
          <w:sz w:val="20"/>
          <w:szCs w:val="20"/>
          <w:lang w:val="en-GB"/>
        </w:rPr>
        <w:t xml:space="preserve">‘Are financial assets (loans, equity and debt investments) considered business relationships that trigger </w:t>
      </w:r>
      <w:r w:rsidR="00FC4FD9" w:rsidRPr="0083695F">
        <w:rPr>
          <w:rFonts w:ascii="Arial" w:hAnsi="Arial" w:cs="Arial"/>
          <w:i/>
          <w:iCs/>
          <w:sz w:val="20"/>
          <w:szCs w:val="20"/>
          <w:lang w:val="en-GB"/>
        </w:rPr>
        <w:t xml:space="preserve">Value Chain </w:t>
      </w:r>
      <w:r w:rsidRPr="0083695F">
        <w:rPr>
          <w:rFonts w:ascii="Arial" w:hAnsi="Arial" w:cs="Arial"/>
          <w:i/>
          <w:iCs/>
          <w:sz w:val="20"/>
          <w:szCs w:val="20"/>
          <w:lang w:val="en-GB"/>
        </w:rPr>
        <w:t>information?’</w:t>
      </w:r>
    </w:p>
    <w:p w14:paraId="15CB97F8" w14:textId="5D95F454" w:rsidR="00D942EE" w:rsidRPr="0083695F" w:rsidRDefault="004002AC" w:rsidP="00FD2C6E">
      <w:pPr>
        <w:spacing w:after="120" w:line="360" w:lineRule="auto"/>
        <w:rPr>
          <w:rFonts w:ascii="Arial" w:hAnsi="Arial" w:cs="Arial"/>
          <w:sz w:val="20"/>
          <w:szCs w:val="20"/>
          <w:lang w:val="en-GB"/>
        </w:rPr>
      </w:pPr>
      <w:r w:rsidRPr="0083695F">
        <w:rPr>
          <w:rFonts w:ascii="Arial" w:hAnsi="Arial" w:cs="Arial"/>
          <w:sz w:val="20"/>
          <w:szCs w:val="20"/>
          <w:lang w:val="en-GB"/>
        </w:rPr>
        <w:lastRenderedPageBreak/>
        <w:t xml:space="preserve">The Draft Guidance states: </w:t>
      </w:r>
    </w:p>
    <w:p w14:paraId="5FA80F8B" w14:textId="7730F753" w:rsidR="004002AC" w:rsidRPr="0083695F" w:rsidRDefault="004002AC" w:rsidP="004002AC">
      <w:pPr>
        <w:spacing w:after="120" w:line="360" w:lineRule="auto"/>
        <w:ind w:left="720"/>
        <w:rPr>
          <w:rFonts w:ascii="Arial" w:hAnsi="Arial" w:cs="Arial"/>
          <w:i/>
          <w:iCs/>
          <w:sz w:val="20"/>
          <w:szCs w:val="20"/>
          <w:lang w:val="en-GB"/>
        </w:rPr>
      </w:pPr>
      <w:r w:rsidRPr="0083695F">
        <w:rPr>
          <w:rFonts w:ascii="Arial" w:hAnsi="Arial" w:cs="Arial"/>
          <w:i/>
          <w:iCs/>
          <w:sz w:val="20"/>
          <w:szCs w:val="20"/>
          <w:lang w:val="en-GB"/>
        </w:rPr>
        <w:t>‘75. Yes. Business relationships and V</w:t>
      </w:r>
      <w:r w:rsidR="008E002F">
        <w:rPr>
          <w:rFonts w:ascii="Arial" w:hAnsi="Arial" w:cs="Arial"/>
          <w:i/>
          <w:iCs/>
          <w:sz w:val="20"/>
          <w:szCs w:val="20"/>
          <w:lang w:val="en-GB"/>
        </w:rPr>
        <w:t xml:space="preserve">alue </w:t>
      </w:r>
      <w:r w:rsidRPr="0083695F">
        <w:rPr>
          <w:rFonts w:ascii="Arial" w:hAnsi="Arial" w:cs="Arial"/>
          <w:i/>
          <w:iCs/>
          <w:sz w:val="20"/>
          <w:szCs w:val="20"/>
          <w:lang w:val="en-GB"/>
        </w:rPr>
        <w:t>C</w:t>
      </w:r>
      <w:r w:rsidR="008E002F">
        <w:rPr>
          <w:rFonts w:ascii="Arial" w:hAnsi="Arial" w:cs="Arial"/>
          <w:i/>
          <w:iCs/>
          <w:sz w:val="20"/>
          <w:szCs w:val="20"/>
          <w:lang w:val="en-GB"/>
        </w:rPr>
        <w:t>hain</w:t>
      </w:r>
      <w:r w:rsidRPr="0083695F">
        <w:rPr>
          <w:rFonts w:ascii="Arial" w:hAnsi="Arial" w:cs="Arial"/>
          <w:i/>
          <w:iCs/>
          <w:sz w:val="20"/>
          <w:szCs w:val="20"/>
          <w:lang w:val="en-GB"/>
        </w:rPr>
        <w:t xml:space="preserve"> as defined in Annex II of the July 2023 delegated act does not exclude any types of activities and business relationships’</w:t>
      </w:r>
    </w:p>
    <w:p w14:paraId="4D692827" w14:textId="77777777" w:rsidR="004002AC" w:rsidRPr="0083695F" w:rsidRDefault="004002AC" w:rsidP="004002AC">
      <w:pPr>
        <w:spacing w:after="120" w:line="360" w:lineRule="auto"/>
        <w:rPr>
          <w:rFonts w:ascii="Arial" w:hAnsi="Arial" w:cs="Arial"/>
          <w:sz w:val="20"/>
          <w:szCs w:val="20"/>
          <w:lang w:val="en-GB"/>
        </w:rPr>
      </w:pPr>
      <w:r w:rsidRPr="0083695F">
        <w:rPr>
          <w:rFonts w:ascii="Arial" w:hAnsi="Arial" w:cs="Arial"/>
          <w:sz w:val="20"/>
          <w:szCs w:val="20"/>
          <w:lang w:val="en-GB"/>
        </w:rPr>
        <w:t xml:space="preserve">and </w:t>
      </w:r>
    </w:p>
    <w:p w14:paraId="1A12FE83" w14:textId="6241CF66" w:rsidR="006B5455" w:rsidRPr="0083695F" w:rsidRDefault="004002AC" w:rsidP="004002AC">
      <w:pPr>
        <w:spacing w:after="120" w:line="360" w:lineRule="auto"/>
        <w:ind w:left="720"/>
        <w:rPr>
          <w:rFonts w:ascii="Arial" w:hAnsi="Arial" w:cs="Arial"/>
          <w:i/>
          <w:iCs/>
          <w:sz w:val="20"/>
          <w:szCs w:val="20"/>
          <w:lang w:val="en-GB"/>
        </w:rPr>
      </w:pPr>
      <w:r w:rsidRPr="0083695F">
        <w:rPr>
          <w:rFonts w:ascii="Arial" w:hAnsi="Arial" w:cs="Arial"/>
          <w:i/>
          <w:iCs/>
          <w:sz w:val="20"/>
          <w:szCs w:val="20"/>
          <w:lang w:val="en-GB"/>
        </w:rPr>
        <w:t>‘77. Per paragraph 49, for equity investments there is currently only disclosures under Category 15 of GHG emissions where significant under ESRS E1’</w:t>
      </w:r>
    </w:p>
    <w:p w14:paraId="564C25E2" w14:textId="61604F9A" w:rsidR="006B5455" w:rsidRPr="002C1732" w:rsidRDefault="00463838" w:rsidP="00453A5F">
      <w:pPr>
        <w:spacing w:after="120" w:line="360" w:lineRule="auto"/>
        <w:rPr>
          <w:rFonts w:ascii="Arial" w:hAnsi="Arial"/>
          <w:sz w:val="20"/>
          <w:szCs w:val="20"/>
          <w:lang w:val="en-GB"/>
        </w:rPr>
      </w:pPr>
      <w:r w:rsidRPr="002C1732">
        <w:rPr>
          <w:rFonts w:ascii="Arial" w:hAnsi="Arial"/>
          <w:sz w:val="20"/>
          <w:szCs w:val="20"/>
          <w:lang w:val="en-GB"/>
        </w:rPr>
        <w:t>a</w:t>
      </w:r>
      <w:r w:rsidR="006B5455" w:rsidRPr="002C1732">
        <w:rPr>
          <w:rFonts w:ascii="Arial" w:hAnsi="Arial"/>
          <w:sz w:val="20"/>
          <w:szCs w:val="20"/>
          <w:lang w:val="en-GB"/>
        </w:rPr>
        <w:t xml:space="preserve">nd </w:t>
      </w:r>
    </w:p>
    <w:p w14:paraId="045AA19D" w14:textId="40FE83BD" w:rsidR="006B5455" w:rsidRPr="002C1732" w:rsidRDefault="00453A5F" w:rsidP="004002AC">
      <w:pPr>
        <w:spacing w:after="120" w:line="360" w:lineRule="auto"/>
        <w:ind w:left="720"/>
        <w:rPr>
          <w:rFonts w:ascii="Arial" w:hAnsi="Arial"/>
          <w:i/>
          <w:sz w:val="20"/>
          <w:szCs w:val="20"/>
          <w:lang w:val="en-GB"/>
        </w:rPr>
      </w:pPr>
      <w:r w:rsidRPr="0083695F">
        <w:rPr>
          <w:rFonts w:ascii="Arial" w:hAnsi="Arial" w:cs="Arial"/>
          <w:i/>
          <w:iCs/>
          <w:sz w:val="20"/>
          <w:szCs w:val="20"/>
          <w:lang w:val="en-GB"/>
        </w:rPr>
        <w:t>‘</w:t>
      </w:r>
      <w:r w:rsidR="006B5455" w:rsidRPr="002C1732">
        <w:rPr>
          <w:rFonts w:ascii="Arial" w:hAnsi="Arial"/>
          <w:i/>
          <w:sz w:val="20"/>
          <w:szCs w:val="20"/>
          <w:lang w:val="en-GB"/>
        </w:rPr>
        <w:t>78. EFRAG plans to work on the development of further draft standards or guidelines for Financial Institutions and on that occasion, specific solutions will be consulted on for comments.</w:t>
      </w:r>
      <w:r w:rsidRPr="0083695F">
        <w:rPr>
          <w:rFonts w:ascii="Arial" w:hAnsi="Arial" w:cs="Arial"/>
          <w:i/>
          <w:iCs/>
          <w:sz w:val="20"/>
          <w:szCs w:val="20"/>
          <w:lang w:val="en-GB"/>
        </w:rPr>
        <w:t>’</w:t>
      </w:r>
    </w:p>
    <w:p w14:paraId="6CB4032D" w14:textId="1589A496" w:rsidR="004002AC" w:rsidRPr="0083695F" w:rsidRDefault="00904678" w:rsidP="004002AC">
      <w:pPr>
        <w:spacing w:after="120" w:line="360" w:lineRule="auto"/>
        <w:rPr>
          <w:rFonts w:ascii="Arial" w:hAnsi="Arial" w:cs="Arial"/>
          <w:sz w:val="20"/>
          <w:szCs w:val="20"/>
          <w:lang w:val="en-GB"/>
        </w:rPr>
      </w:pPr>
      <w:r w:rsidRPr="0083695F">
        <w:rPr>
          <w:rFonts w:ascii="Arial" w:hAnsi="Arial" w:cs="Arial"/>
          <w:sz w:val="20"/>
          <w:szCs w:val="20"/>
          <w:lang w:val="en-GB"/>
        </w:rPr>
        <w:t xml:space="preserve">We recommend that the final Guidance be revised to provide a more nuanced approach. This approach should explicitly exclude certain activities from the definition of qualifying business relationships that trigger a requirement for Value Chain information. </w:t>
      </w:r>
      <w:r w:rsidR="004002AC" w:rsidRPr="0083695F">
        <w:rPr>
          <w:rFonts w:ascii="Arial" w:hAnsi="Arial" w:cs="Arial"/>
          <w:sz w:val="20"/>
          <w:szCs w:val="20"/>
          <w:lang w:val="en-GB"/>
        </w:rPr>
        <w:t xml:space="preserve">The activities that should in our view should be excluded are: </w:t>
      </w:r>
    </w:p>
    <w:p w14:paraId="31A08D67" w14:textId="076DDEDA" w:rsidR="00904678" w:rsidRPr="0083695F" w:rsidRDefault="006B5455" w:rsidP="00904678">
      <w:pPr>
        <w:pStyle w:val="ListParagraph"/>
        <w:numPr>
          <w:ilvl w:val="0"/>
          <w:numId w:val="9"/>
        </w:numPr>
        <w:spacing w:after="120" w:line="360" w:lineRule="auto"/>
        <w:rPr>
          <w:rFonts w:ascii="Arial" w:hAnsi="Arial" w:cs="Arial"/>
          <w:sz w:val="20"/>
          <w:szCs w:val="20"/>
          <w:lang w:val="en-GB"/>
        </w:rPr>
      </w:pPr>
      <w:r w:rsidRPr="0083695F">
        <w:rPr>
          <w:rFonts w:ascii="Arial" w:hAnsi="Arial" w:cs="Arial"/>
          <w:sz w:val="20"/>
          <w:szCs w:val="20"/>
          <w:lang w:val="en-GB"/>
        </w:rPr>
        <w:t>Investment done via alternative investment funds (AIFs) or UCITs</w:t>
      </w:r>
      <w:r w:rsidR="00453A5F" w:rsidRPr="0083695F">
        <w:rPr>
          <w:rFonts w:ascii="Arial" w:hAnsi="Arial" w:cs="Arial"/>
          <w:sz w:val="20"/>
          <w:szCs w:val="20"/>
          <w:lang w:val="en-GB"/>
        </w:rPr>
        <w:t>,</w:t>
      </w:r>
      <w:r w:rsidRPr="0083695F">
        <w:rPr>
          <w:rFonts w:ascii="Arial" w:hAnsi="Arial" w:cs="Arial"/>
          <w:sz w:val="20"/>
          <w:szCs w:val="20"/>
          <w:lang w:val="en-GB"/>
        </w:rPr>
        <w:t xml:space="preserve"> managed by AIF managers or UICITS managers</w:t>
      </w:r>
      <w:r w:rsidR="002C1732">
        <w:rPr>
          <w:rFonts w:ascii="Arial" w:hAnsi="Arial" w:cs="Arial"/>
          <w:sz w:val="20"/>
          <w:szCs w:val="20"/>
          <w:lang w:val="en-GB"/>
        </w:rPr>
        <w:t xml:space="preserve">. These </w:t>
      </w:r>
      <w:r w:rsidRPr="0083695F">
        <w:rPr>
          <w:rFonts w:ascii="Arial" w:hAnsi="Arial" w:cs="Arial"/>
          <w:sz w:val="20"/>
          <w:szCs w:val="20"/>
          <w:lang w:val="en-GB"/>
        </w:rPr>
        <w:t>managers have the discretion to undertake investments and adopt the investment policy of an AIF/UCITS</w:t>
      </w:r>
      <w:r w:rsidR="002C1732">
        <w:rPr>
          <w:rFonts w:ascii="Arial" w:hAnsi="Arial" w:cs="Arial"/>
          <w:sz w:val="20"/>
          <w:szCs w:val="20"/>
          <w:lang w:val="en-GB"/>
        </w:rPr>
        <w:t>.</w:t>
      </w:r>
      <w:r w:rsidRPr="0083695F">
        <w:rPr>
          <w:rFonts w:ascii="Arial" w:hAnsi="Arial" w:cs="Arial"/>
          <w:sz w:val="20"/>
          <w:szCs w:val="20"/>
          <w:lang w:val="en-GB"/>
        </w:rPr>
        <w:t xml:space="preserve"> </w:t>
      </w:r>
      <w:r w:rsidR="002C1732">
        <w:rPr>
          <w:rFonts w:ascii="Arial" w:hAnsi="Arial" w:cs="Arial"/>
          <w:sz w:val="20"/>
          <w:szCs w:val="20"/>
          <w:lang w:val="en-GB"/>
        </w:rPr>
        <w:t>F</w:t>
      </w:r>
      <w:r w:rsidRPr="0083695F">
        <w:rPr>
          <w:rFonts w:ascii="Arial" w:hAnsi="Arial" w:cs="Arial"/>
          <w:sz w:val="20"/>
          <w:szCs w:val="20"/>
          <w:lang w:val="en-GB"/>
        </w:rPr>
        <w:t>inancial products in the form of AIFS/UCITS are explicitly exempted under the CSRD</w:t>
      </w:r>
      <w:r w:rsidR="00904678" w:rsidRPr="0083695F">
        <w:rPr>
          <w:rFonts w:ascii="Arial" w:hAnsi="Arial" w:cs="Arial"/>
          <w:sz w:val="20"/>
          <w:szCs w:val="20"/>
          <w:lang w:val="en-GB"/>
        </w:rPr>
        <w:t>;</w:t>
      </w:r>
      <w:r w:rsidR="004002AC" w:rsidRPr="0083695F">
        <w:rPr>
          <w:rFonts w:ascii="Arial" w:hAnsi="Arial" w:cs="Arial"/>
          <w:sz w:val="20"/>
          <w:szCs w:val="20"/>
          <w:lang w:val="en-GB"/>
        </w:rPr>
        <w:t xml:space="preserve"> </w:t>
      </w:r>
    </w:p>
    <w:p w14:paraId="7B45CF54" w14:textId="75A82D1C" w:rsidR="004002AC" w:rsidRPr="0083695F" w:rsidRDefault="006B5455" w:rsidP="004002AC">
      <w:pPr>
        <w:pStyle w:val="ListParagraph"/>
        <w:numPr>
          <w:ilvl w:val="0"/>
          <w:numId w:val="9"/>
        </w:numPr>
        <w:spacing w:after="120" w:line="360" w:lineRule="auto"/>
        <w:rPr>
          <w:rFonts w:ascii="Arial" w:hAnsi="Arial" w:cs="Arial"/>
          <w:sz w:val="20"/>
          <w:szCs w:val="20"/>
          <w:lang w:val="en-GB"/>
        </w:rPr>
      </w:pPr>
      <w:r w:rsidRPr="0083695F">
        <w:rPr>
          <w:rFonts w:ascii="Arial" w:hAnsi="Arial" w:cs="Arial"/>
          <w:sz w:val="20"/>
          <w:szCs w:val="20"/>
          <w:lang w:val="en-GB"/>
        </w:rPr>
        <w:t>Investments managed by investment firms or managers of AIFs/ UCITS under an individual discretionary portfolio management agreement with a specific client</w:t>
      </w:r>
      <w:r w:rsidR="00904678" w:rsidRPr="0083695F">
        <w:rPr>
          <w:rFonts w:ascii="Arial" w:hAnsi="Arial" w:cs="Arial"/>
          <w:sz w:val="20"/>
          <w:szCs w:val="20"/>
          <w:lang w:val="en-GB"/>
        </w:rPr>
        <w:t xml:space="preserve">: </w:t>
      </w:r>
      <w:r w:rsidR="00904678" w:rsidRPr="0083695F">
        <w:rPr>
          <w:rFonts w:ascii="Arial" w:hAnsi="Arial" w:cs="Arial"/>
          <w:sz w:val="20"/>
          <w:szCs w:val="20"/>
          <w:lang w:val="en-GB"/>
        </w:rPr>
        <w:br/>
        <w:t>These firms manage portfolios based on clients' discretionary preferences, where clients themselves are in control over investment and sustainability investment policies.</w:t>
      </w:r>
      <w:r w:rsidR="004002AC" w:rsidRPr="0083695F">
        <w:rPr>
          <w:rFonts w:ascii="Arial" w:hAnsi="Arial" w:cs="Arial"/>
          <w:sz w:val="20"/>
          <w:szCs w:val="20"/>
          <w:lang w:val="en-GB"/>
        </w:rPr>
        <w:t xml:space="preserve"> </w:t>
      </w:r>
    </w:p>
    <w:p w14:paraId="7ACE8692" w14:textId="14FB2A11" w:rsidR="004002AC" w:rsidRPr="0083695F" w:rsidRDefault="004002AC" w:rsidP="004002AC">
      <w:pPr>
        <w:spacing w:after="120" w:line="360" w:lineRule="auto"/>
        <w:rPr>
          <w:rFonts w:ascii="Arial" w:hAnsi="Arial" w:cs="Arial"/>
          <w:sz w:val="20"/>
          <w:szCs w:val="20"/>
          <w:lang w:val="en-GB"/>
        </w:rPr>
      </w:pPr>
      <w:r w:rsidRPr="0083695F">
        <w:rPr>
          <w:rFonts w:ascii="Arial" w:hAnsi="Arial" w:cs="Arial"/>
          <w:sz w:val="20"/>
          <w:szCs w:val="20"/>
          <w:lang w:val="en-GB"/>
        </w:rPr>
        <w:t xml:space="preserve">As a consequence these entities should not </w:t>
      </w:r>
      <w:r w:rsidR="007348D9" w:rsidRPr="0083695F">
        <w:rPr>
          <w:rFonts w:ascii="Arial" w:hAnsi="Arial" w:cs="Arial"/>
          <w:sz w:val="20"/>
          <w:szCs w:val="20"/>
          <w:lang w:val="en-GB"/>
        </w:rPr>
        <w:t>be obliged</w:t>
      </w:r>
      <w:r w:rsidRPr="0083695F">
        <w:rPr>
          <w:rFonts w:ascii="Arial" w:hAnsi="Arial" w:cs="Arial"/>
          <w:sz w:val="20"/>
          <w:szCs w:val="20"/>
          <w:lang w:val="en-GB"/>
        </w:rPr>
        <w:t xml:space="preserve"> to report sustainability</w:t>
      </w:r>
      <w:r w:rsidR="007348D9" w:rsidRPr="0083695F">
        <w:rPr>
          <w:rFonts w:ascii="Arial" w:hAnsi="Arial" w:cs="Arial"/>
          <w:sz w:val="20"/>
          <w:szCs w:val="20"/>
          <w:lang w:val="en-GB"/>
        </w:rPr>
        <w:t xml:space="preserve"> information</w:t>
      </w:r>
      <w:r w:rsidR="00904678" w:rsidRPr="0083695F">
        <w:rPr>
          <w:rFonts w:ascii="Arial" w:hAnsi="Arial" w:cs="Arial"/>
          <w:sz w:val="20"/>
          <w:szCs w:val="20"/>
          <w:lang w:val="en-GB"/>
        </w:rPr>
        <w:t>.</w:t>
      </w:r>
    </w:p>
    <w:p w14:paraId="037C4C6E" w14:textId="565D7DF2" w:rsidR="004002AC" w:rsidRPr="0083695F" w:rsidRDefault="00FC4FD9" w:rsidP="004002AC">
      <w:pPr>
        <w:spacing w:after="120" w:line="360" w:lineRule="auto"/>
        <w:rPr>
          <w:rFonts w:ascii="Arial" w:hAnsi="Arial" w:cs="Arial"/>
          <w:sz w:val="20"/>
          <w:szCs w:val="20"/>
          <w:lang w:val="en-GB"/>
        </w:rPr>
      </w:pPr>
      <w:r w:rsidRPr="0083695F">
        <w:rPr>
          <w:rFonts w:ascii="Arial" w:hAnsi="Arial" w:cs="Arial"/>
          <w:sz w:val="20"/>
          <w:szCs w:val="20"/>
          <w:lang w:val="en-GB"/>
        </w:rPr>
        <w:t>We believe there is good reason to make the above changes, when c</w:t>
      </w:r>
      <w:r w:rsidR="004002AC" w:rsidRPr="0083695F">
        <w:rPr>
          <w:rFonts w:ascii="Arial" w:hAnsi="Arial" w:cs="Arial"/>
          <w:sz w:val="20"/>
          <w:szCs w:val="20"/>
          <w:lang w:val="en-GB"/>
        </w:rPr>
        <w:t>onsidering the legislation and regulations already applicable to institutional investors (such as Regulation (EU) 2019/2088 of the European Parliament and of the Council of 27 November 2019 on sustainability</w:t>
      </w:r>
      <w:r w:rsidR="004002AC" w:rsidRPr="0083695F">
        <w:rPr>
          <w:rFonts w:ascii="Cambria Math" w:hAnsi="Cambria Math" w:cs="Cambria Math"/>
          <w:sz w:val="20"/>
          <w:szCs w:val="20"/>
          <w:lang w:val="en-GB"/>
        </w:rPr>
        <w:t>‐</w:t>
      </w:r>
      <w:r w:rsidR="004002AC" w:rsidRPr="0083695F">
        <w:rPr>
          <w:rFonts w:ascii="Arial" w:hAnsi="Arial" w:cs="Arial"/>
          <w:sz w:val="20"/>
          <w:szCs w:val="20"/>
          <w:lang w:val="en-GB"/>
        </w:rPr>
        <w:t>related disclosures in the financial services sector (</w:t>
      </w:r>
      <w:r w:rsidRPr="0083695F">
        <w:rPr>
          <w:rFonts w:ascii="Arial" w:hAnsi="Arial" w:cs="Arial"/>
          <w:sz w:val="20"/>
          <w:szCs w:val="20"/>
          <w:lang w:val="en-GB"/>
        </w:rPr>
        <w:t>‘</w:t>
      </w:r>
      <w:r w:rsidR="004002AC" w:rsidRPr="0083695F">
        <w:rPr>
          <w:rFonts w:ascii="Arial" w:hAnsi="Arial" w:cs="Arial"/>
          <w:sz w:val="20"/>
          <w:szCs w:val="20"/>
          <w:lang w:val="en-GB"/>
        </w:rPr>
        <w:t>SFDR</w:t>
      </w:r>
      <w:r w:rsidRPr="0083695F">
        <w:rPr>
          <w:rFonts w:ascii="Arial" w:hAnsi="Arial" w:cs="Arial"/>
          <w:sz w:val="20"/>
          <w:szCs w:val="20"/>
          <w:lang w:val="en-GB"/>
        </w:rPr>
        <w:t>’</w:t>
      </w:r>
      <w:r w:rsidR="004002AC" w:rsidRPr="0083695F">
        <w:rPr>
          <w:rFonts w:ascii="Arial" w:hAnsi="Arial" w:cs="Arial"/>
          <w:sz w:val="20"/>
          <w:szCs w:val="20"/>
          <w:lang w:val="en-GB"/>
        </w:rPr>
        <w:t>))</w:t>
      </w:r>
      <w:r w:rsidRPr="0083695F">
        <w:rPr>
          <w:rFonts w:ascii="Arial" w:hAnsi="Arial" w:cs="Arial"/>
          <w:sz w:val="20"/>
          <w:szCs w:val="20"/>
          <w:lang w:val="en-GB"/>
        </w:rPr>
        <w:t>,</w:t>
      </w:r>
      <w:r w:rsidR="004002AC" w:rsidRPr="0083695F">
        <w:rPr>
          <w:rFonts w:ascii="Arial" w:hAnsi="Arial" w:cs="Arial"/>
          <w:sz w:val="20"/>
          <w:szCs w:val="20"/>
          <w:lang w:val="en-GB"/>
        </w:rPr>
        <w:t xml:space="preserve"> and the scope of the </w:t>
      </w:r>
      <w:r w:rsidRPr="0083695F">
        <w:rPr>
          <w:rFonts w:ascii="Arial" w:hAnsi="Arial" w:cs="Arial"/>
          <w:sz w:val="20"/>
          <w:szCs w:val="20"/>
          <w:lang w:val="en-GB"/>
        </w:rPr>
        <w:t>Corporate Sustainability Reporting Directive (CSRD).</w:t>
      </w:r>
      <w:r w:rsidR="004002AC" w:rsidRPr="0083695F">
        <w:rPr>
          <w:rFonts w:ascii="Arial" w:hAnsi="Arial" w:cs="Arial"/>
          <w:sz w:val="20"/>
          <w:szCs w:val="20"/>
          <w:lang w:val="en-GB"/>
        </w:rPr>
        <w:t xml:space="preserve"> </w:t>
      </w:r>
      <w:r w:rsidR="00904678" w:rsidRPr="0083695F">
        <w:rPr>
          <w:rFonts w:ascii="Arial" w:hAnsi="Arial" w:cs="Arial"/>
          <w:sz w:val="20"/>
          <w:szCs w:val="20"/>
          <w:lang w:val="en-GB"/>
        </w:rPr>
        <w:t xml:space="preserve">Under SFDR, financial market participants and advisers are already required to make disclosures regarding sustainability information to end investors and asset owners. This regulation aims to reduce information asymmetries and </w:t>
      </w:r>
      <w:r w:rsidR="007348D9" w:rsidRPr="0083695F">
        <w:rPr>
          <w:rFonts w:ascii="Arial" w:hAnsi="Arial" w:cs="Arial"/>
          <w:sz w:val="20"/>
          <w:szCs w:val="20"/>
          <w:lang w:val="en-GB"/>
        </w:rPr>
        <w:t xml:space="preserve">to </w:t>
      </w:r>
      <w:r w:rsidR="00904678" w:rsidRPr="0083695F">
        <w:rPr>
          <w:rFonts w:ascii="Arial" w:hAnsi="Arial" w:cs="Arial"/>
          <w:sz w:val="20"/>
          <w:szCs w:val="20"/>
          <w:lang w:val="en-GB"/>
        </w:rPr>
        <w:t xml:space="preserve">promote sustainability considerations. </w:t>
      </w:r>
      <w:r w:rsidR="004002AC" w:rsidRPr="0083695F">
        <w:rPr>
          <w:rFonts w:ascii="Arial" w:hAnsi="Arial" w:cs="Arial"/>
          <w:sz w:val="20"/>
          <w:szCs w:val="20"/>
          <w:lang w:val="en-GB"/>
        </w:rPr>
        <w:t>It follows from the CSRD that it does not apply to the following financial products: AIFs and UCITS. Nor does the CSRD apply to pension funds</w:t>
      </w:r>
      <w:r w:rsidRPr="0083695F">
        <w:rPr>
          <w:rFonts w:ascii="Arial" w:hAnsi="Arial" w:cs="Arial"/>
          <w:sz w:val="20"/>
          <w:szCs w:val="20"/>
          <w:lang w:val="en-GB"/>
        </w:rPr>
        <w:t xml:space="preserve">, </w:t>
      </w:r>
      <w:r w:rsidR="004002AC" w:rsidRPr="0083695F">
        <w:rPr>
          <w:rFonts w:ascii="Arial" w:hAnsi="Arial" w:cs="Arial"/>
          <w:sz w:val="20"/>
          <w:szCs w:val="20"/>
          <w:lang w:val="en-GB"/>
        </w:rPr>
        <w:t>provided they are not companies within the meaning of Article 19a CSRD. Managers of AIFs, UCITS, pension funds and investment firms which provide portfolio management services</w:t>
      </w:r>
      <w:r w:rsidRPr="0083695F">
        <w:rPr>
          <w:rStyle w:val="FootnoteReference"/>
          <w:rFonts w:ascii="Arial" w:hAnsi="Arial" w:cs="Arial"/>
          <w:sz w:val="20"/>
          <w:szCs w:val="20"/>
          <w:lang w:val="en-GB"/>
        </w:rPr>
        <w:footnoteReference w:id="2"/>
      </w:r>
      <w:r w:rsidR="004002AC" w:rsidRPr="0083695F">
        <w:rPr>
          <w:rFonts w:ascii="Arial" w:hAnsi="Arial" w:cs="Arial"/>
          <w:sz w:val="20"/>
          <w:szCs w:val="20"/>
          <w:lang w:val="en-GB"/>
        </w:rPr>
        <w:t xml:space="preserve"> are already subject to reporting obligations under the SFDR. According to recital 10 of the SFDR, that </w:t>
      </w:r>
      <w:r w:rsidR="007348D9" w:rsidRPr="0083695F">
        <w:rPr>
          <w:rFonts w:ascii="Arial" w:hAnsi="Arial" w:cs="Arial"/>
          <w:sz w:val="20"/>
          <w:szCs w:val="20"/>
          <w:lang w:val="en-GB"/>
        </w:rPr>
        <w:t>r</w:t>
      </w:r>
      <w:r w:rsidR="004002AC" w:rsidRPr="0083695F">
        <w:rPr>
          <w:rFonts w:ascii="Arial" w:hAnsi="Arial" w:cs="Arial"/>
          <w:sz w:val="20"/>
          <w:szCs w:val="20"/>
          <w:lang w:val="en-GB"/>
        </w:rPr>
        <w:t>egulation</w:t>
      </w:r>
      <w:r w:rsidRPr="0083695F">
        <w:rPr>
          <w:rFonts w:ascii="Arial" w:hAnsi="Arial" w:cs="Arial"/>
          <w:sz w:val="20"/>
          <w:szCs w:val="20"/>
          <w:lang w:val="en-GB"/>
        </w:rPr>
        <w:t>:</w:t>
      </w:r>
    </w:p>
    <w:p w14:paraId="528CC405" w14:textId="59BC34E6" w:rsidR="004002AC" w:rsidRPr="0083695F" w:rsidRDefault="00FC4FD9" w:rsidP="00FC4FD9">
      <w:pPr>
        <w:spacing w:after="120" w:line="360" w:lineRule="auto"/>
        <w:ind w:left="720"/>
        <w:rPr>
          <w:rFonts w:ascii="Arial" w:hAnsi="Arial" w:cs="Arial"/>
          <w:i/>
          <w:iCs/>
          <w:sz w:val="20"/>
          <w:szCs w:val="20"/>
          <w:lang w:val="en-GB"/>
        </w:rPr>
      </w:pPr>
      <w:r w:rsidRPr="0083695F">
        <w:rPr>
          <w:rFonts w:ascii="Arial" w:hAnsi="Arial" w:cs="Arial"/>
          <w:i/>
          <w:iCs/>
          <w:sz w:val="20"/>
          <w:szCs w:val="20"/>
          <w:lang w:val="en-GB"/>
        </w:rPr>
        <w:lastRenderedPageBreak/>
        <w:t>‘</w:t>
      </w:r>
      <w:r w:rsidR="004002AC" w:rsidRPr="0083695F">
        <w:rPr>
          <w:rFonts w:ascii="Arial" w:hAnsi="Arial" w:cs="Arial"/>
          <w:i/>
          <w:iCs/>
          <w:sz w:val="20"/>
          <w:szCs w:val="20"/>
          <w:lang w:val="en-GB"/>
        </w:rPr>
        <w:t>aims to reduce information asymmetries in principal</w:t>
      </w:r>
      <w:r w:rsidR="004002AC" w:rsidRPr="0083695F">
        <w:rPr>
          <w:rFonts w:ascii="Cambria Math" w:hAnsi="Cambria Math" w:cs="Cambria Math"/>
          <w:i/>
          <w:iCs/>
          <w:sz w:val="20"/>
          <w:szCs w:val="20"/>
          <w:lang w:val="en-GB"/>
        </w:rPr>
        <w:t>‐</w:t>
      </w:r>
      <w:r w:rsidR="004002AC" w:rsidRPr="0083695F">
        <w:rPr>
          <w:rFonts w:ascii="Arial" w:hAnsi="Arial" w:cs="Arial"/>
          <w:i/>
          <w:iCs/>
          <w:sz w:val="20"/>
          <w:szCs w:val="20"/>
          <w:lang w:val="en-GB"/>
        </w:rPr>
        <w:t>agent relationships with regard to the integration of sustainability risks, the consideration of adverse sustainability impacts, the promotion of environmental or social characteristics, and sustainable investment, by requiring financial market participants and financial advisers to make pre</w:t>
      </w:r>
      <w:r w:rsidR="004002AC" w:rsidRPr="0083695F">
        <w:rPr>
          <w:rFonts w:ascii="Cambria Math" w:hAnsi="Cambria Math" w:cs="Cambria Math"/>
          <w:i/>
          <w:iCs/>
          <w:sz w:val="20"/>
          <w:szCs w:val="20"/>
          <w:lang w:val="en-GB"/>
        </w:rPr>
        <w:t>‐</w:t>
      </w:r>
      <w:r w:rsidR="004002AC" w:rsidRPr="0083695F">
        <w:rPr>
          <w:rFonts w:ascii="Arial" w:hAnsi="Arial" w:cs="Arial"/>
          <w:i/>
          <w:iCs/>
          <w:sz w:val="20"/>
          <w:szCs w:val="20"/>
          <w:lang w:val="en-GB"/>
        </w:rPr>
        <w:t>contractual and ongoing disclosures to end investors when they act as agents of those end investors (principals)</w:t>
      </w:r>
      <w:r w:rsidRPr="0083695F">
        <w:rPr>
          <w:rFonts w:ascii="Arial" w:hAnsi="Arial" w:cs="Arial"/>
          <w:i/>
          <w:iCs/>
          <w:sz w:val="20"/>
          <w:szCs w:val="20"/>
          <w:lang w:val="en-GB"/>
        </w:rPr>
        <w:t>’</w:t>
      </w:r>
      <w:r w:rsidR="004002AC" w:rsidRPr="0083695F">
        <w:rPr>
          <w:rFonts w:ascii="Arial" w:hAnsi="Arial" w:cs="Arial"/>
          <w:i/>
          <w:iCs/>
          <w:sz w:val="20"/>
          <w:szCs w:val="20"/>
          <w:lang w:val="en-GB"/>
        </w:rPr>
        <w:t xml:space="preserve">. </w:t>
      </w:r>
    </w:p>
    <w:p w14:paraId="294BB352" w14:textId="77777777" w:rsidR="003C19ED" w:rsidRPr="0083695F" w:rsidRDefault="004002AC" w:rsidP="004002AC">
      <w:pPr>
        <w:spacing w:after="120" w:line="360" w:lineRule="auto"/>
        <w:rPr>
          <w:rFonts w:ascii="Arial" w:hAnsi="Arial" w:cs="Arial"/>
          <w:sz w:val="20"/>
          <w:szCs w:val="20"/>
          <w:lang w:val="en-GB"/>
        </w:rPr>
      </w:pPr>
      <w:r w:rsidRPr="0083695F">
        <w:rPr>
          <w:rFonts w:ascii="Arial" w:hAnsi="Arial" w:cs="Arial"/>
          <w:sz w:val="20"/>
          <w:szCs w:val="20"/>
          <w:lang w:val="en-GB"/>
        </w:rPr>
        <w:t xml:space="preserve">It would </w:t>
      </w:r>
      <w:r w:rsidR="00FC4FD9" w:rsidRPr="0083695F">
        <w:rPr>
          <w:rFonts w:ascii="Arial" w:hAnsi="Arial" w:cs="Arial"/>
          <w:sz w:val="20"/>
          <w:szCs w:val="20"/>
          <w:lang w:val="en-GB"/>
        </w:rPr>
        <w:t xml:space="preserve">be </w:t>
      </w:r>
      <w:r w:rsidRPr="0083695F">
        <w:rPr>
          <w:rFonts w:ascii="Arial" w:hAnsi="Arial" w:cs="Arial"/>
          <w:sz w:val="20"/>
          <w:szCs w:val="20"/>
          <w:lang w:val="en-GB"/>
        </w:rPr>
        <w:t xml:space="preserve">disproportionate if managers of AIFs, managers of UCITS and investment firms which provide portfolio management would also have to report on their clients' investments under the CSRD (in other words on investments that do not belong to themselves). The recitals of the CSRD do not seem to assume this either. For example, recital 2 points out that the European Parliament and the Council have adopted a number of legislative acts in the context of the implementation of the Action Plan on Financing Sustainable Growth. In this context, it is stated that the SFDR governs how financial market participants and financial advisers are to disclose sustainability information to end investors and asset owners. In addition, the recitals to the CSRD refer to the importance of coherence with the SFDR in several places so that financial market participants covered by the SFDR can gain insight into the risks and impacts of their investments and can comply with the disclosure obligations of the SFDR. </w:t>
      </w:r>
      <w:r w:rsidR="00310608" w:rsidRPr="0083695F">
        <w:rPr>
          <w:rFonts w:ascii="Arial" w:hAnsi="Arial" w:cs="Arial"/>
          <w:sz w:val="20"/>
          <w:szCs w:val="20"/>
          <w:lang w:val="en-GB"/>
        </w:rPr>
        <w:t xml:space="preserve">The above has been explained in the Netherlands as part of the transposition of the CSRD into Dutch </w:t>
      </w:r>
      <w:r w:rsidR="003C19ED" w:rsidRPr="0083695F">
        <w:rPr>
          <w:rFonts w:ascii="Arial" w:hAnsi="Arial" w:cs="Arial"/>
          <w:sz w:val="20"/>
          <w:szCs w:val="20"/>
          <w:lang w:val="en-GB"/>
        </w:rPr>
        <w:t xml:space="preserve">legislations. </w:t>
      </w:r>
    </w:p>
    <w:p w14:paraId="35BAE734" w14:textId="0A7B61EB" w:rsidR="002C1732" w:rsidRDefault="003C19ED" w:rsidP="00904FC5">
      <w:pPr>
        <w:spacing w:after="120" w:line="360" w:lineRule="auto"/>
        <w:rPr>
          <w:rFonts w:ascii="Arial" w:hAnsi="Arial" w:cs="Arial"/>
          <w:sz w:val="20"/>
          <w:szCs w:val="20"/>
          <w:lang w:val="en-GB"/>
        </w:rPr>
      </w:pPr>
      <w:r w:rsidRPr="0083695F">
        <w:rPr>
          <w:rFonts w:ascii="Arial" w:hAnsi="Arial" w:cs="Arial"/>
          <w:sz w:val="20"/>
          <w:szCs w:val="20"/>
          <w:lang w:val="en-GB"/>
        </w:rPr>
        <w:t>We</w:t>
      </w:r>
      <w:r w:rsidR="00310608" w:rsidRPr="0083695F">
        <w:rPr>
          <w:rFonts w:ascii="Arial" w:hAnsi="Arial" w:cs="Arial"/>
          <w:sz w:val="20"/>
          <w:szCs w:val="20"/>
          <w:lang w:val="en-GB"/>
        </w:rPr>
        <w:t xml:space="preserve"> also point to the EFRA</w:t>
      </w:r>
      <w:r w:rsidR="00453A5F" w:rsidRPr="0083695F">
        <w:rPr>
          <w:rFonts w:ascii="Arial" w:hAnsi="Arial" w:cs="Arial"/>
          <w:sz w:val="20"/>
          <w:szCs w:val="20"/>
          <w:lang w:val="en-GB"/>
        </w:rPr>
        <w:t>G</w:t>
      </w:r>
      <w:r w:rsidR="00310608" w:rsidRPr="0083695F">
        <w:rPr>
          <w:rFonts w:ascii="Arial" w:hAnsi="Arial" w:cs="Arial"/>
          <w:sz w:val="20"/>
          <w:szCs w:val="20"/>
          <w:lang w:val="en-GB"/>
        </w:rPr>
        <w:t xml:space="preserve"> </w:t>
      </w:r>
      <w:r w:rsidR="00453A5F" w:rsidRPr="0083695F">
        <w:rPr>
          <w:rFonts w:ascii="Arial" w:hAnsi="Arial" w:cs="Arial"/>
          <w:sz w:val="20"/>
          <w:szCs w:val="20"/>
          <w:lang w:val="en-GB"/>
        </w:rPr>
        <w:t>S</w:t>
      </w:r>
      <w:r w:rsidR="00310608" w:rsidRPr="0083695F">
        <w:rPr>
          <w:rFonts w:ascii="Arial" w:hAnsi="Arial" w:cs="Arial"/>
          <w:sz w:val="20"/>
          <w:szCs w:val="20"/>
          <w:lang w:val="en-GB"/>
        </w:rPr>
        <w:t xml:space="preserve">ecretariat paper of February 2023 in which </w:t>
      </w:r>
      <w:r w:rsidRPr="0083695F">
        <w:rPr>
          <w:rFonts w:ascii="Arial" w:hAnsi="Arial" w:cs="Arial"/>
          <w:sz w:val="20"/>
          <w:szCs w:val="20"/>
          <w:lang w:val="en-GB"/>
        </w:rPr>
        <w:t xml:space="preserve">not only </w:t>
      </w:r>
      <w:r w:rsidR="00453A5F" w:rsidRPr="0083695F">
        <w:rPr>
          <w:rFonts w:ascii="Arial" w:hAnsi="Arial" w:cs="Arial"/>
          <w:sz w:val="20"/>
          <w:szCs w:val="20"/>
          <w:lang w:val="en-GB"/>
        </w:rPr>
        <w:t xml:space="preserve">a </w:t>
      </w:r>
      <w:r w:rsidRPr="0083695F">
        <w:rPr>
          <w:rFonts w:ascii="Arial" w:hAnsi="Arial" w:cs="Arial"/>
          <w:sz w:val="20"/>
          <w:szCs w:val="20"/>
          <w:lang w:val="en-GB"/>
        </w:rPr>
        <w:t>link with</w:t>
      </w:r>
      <w:r w:rsidR="00310608" w:rsidRPr="0083695F">
        <w:rPr>
          <w:rFonts w:ascii="Arial" w:hAnsi="Arial" w:cs="Arial"/>
          <w:sz w:val="20"/>
          <w:szCs w:val="20"/>
          <w:lang w:val="en-GB"/>
        </w:rPr>
        <w:t xml:space="preserve"> the SFDR has been recogni</w:t>
      </w:r>
      <w:r w:rsidR="00927D7C">
        <w:rPr>
          <w:rFonts w:ascii="Arial" w:hAnsi="Arial" w:cs="Arial"/>
          <w:sz w:val="20"/>
          <w:szCs w:val="20"/>
          <w:lang w:val="en-GB"/>
        </w:rPr>
        <w:t>s</w:t>
      </w:r>
      <w:r w:rsidR="00310608" w:rsidRPr="0083695F">
        <w:rPr>
          <w:rFonts w:ascii="Arial" w:hAnsi="Arial" w:cs="Arial"/>
          <w:sz w:val="20"/>
          <w:szCs w:val="20"/>
          <w:lang w:val="en-GB"/>
        </w:rPr>
        <w:t>e</w:t>
      </w:r>
      <w:r w:rsidRPr="0083695F">
        <w:rPr>
          <w:rFonts w:ascii="Arial" w:hAnsi="Arial" w:cs="Arial"/>
          <w:sz w:val="20"/>
          <w:szCs w:val="20"/>
          <w:lang w:val="en-GB"/>
        </w:rPr>
        <w:t>d, but also with the CSDDD.</w:t>
      </w:r>
      <w:r w:rsidR="00310608" w:rsidRPr="0083695F">
        <w:rPr>
          <w:rFonts w:ascii="Arial" w:hAnsi="Arial" w:cs="Arial"/>
          <w:sz w:val="20"/>
          <w:szCs w:val="20"/>
          <w:lang w:val="en-GB"/>
        </w:rPr>
        <w:t xml:space="preserve"> </w:t>
      </w:r>
      <w:r w:rsidRPr="0083695F">
        <w:rPr>
          <w:rFonts w:ascii="Arial" w:hAnsi="Arial" w:cs="Arial"/>
          <w:sz w:val="20"/>
          <w:szCs w:val="20"/>
          <w:lang w:val="en-GB"/>
        </w:rPr>
        <w:t xml:space="preserve">The EFRAG </w:t>
      </w:r>
      <w:r w:rsidR="00453A5F" w:rsidRPr="0083695F">
        <w:rPr>
          <w:rFonts w:ascii="Arial" w:hAnsi="Arial" w:cs="Arial"/>
          <w:sz w:val="20"/>
          <w:szCs w:val="20"/>
          <w:lang w:val="en-GB"/>
        </w:rPr>
        <w:t>S</w:t>
      </w:r>
      <w:r w:rsidRPr="0083695F">
        <w:rPr>
          <w:rFonts w:ascii="Arial" w:hAnsi="Arial" w:cs="Arial"/>
          <w:sz w:val="20"/>
          <w:szCs w:val="20"/>
          <w:lang w:val="en-GB"/>
        </w:rPr>
        <w:t xml:space="preserve">ecretariat </w:t>
      </w:r>
      <w:r w:rsidR="00117492">
        <w:rPr>
          <w:rFonts w:ascii="Arial" w:hAnsi="Arial" w:cs="Arial"/>
          <w:sz w:val="20"/>
          <w:szCs w:val="20"/>
          <w:lang w:val="en-GB"/>
        </w:rPr>
        <w:t xml:space="preserve">at that time </w:t>
      </w:r>
      <w:r w:rsidRPr="0083695F">
        <w:rPr>
          <w:rFonts w:ascii="Arial" w:hAnsi="Arial" w:cs="Arial"/>
          <w:sz w:val="20"/>
          <w:szCs w:val="20"/>
          <w:lang w:val="en-GB"/>
        </w:rPr>
        <w:t>stated:</w:t>
      </w:r>
    </w:p>
    <w:p w14:paraId="3B94941C" w14:textId="442AAFCA" w:rsidR="003C19ED" w:rsidRPr="002C1732" w:rsidRDefault="002C426C" w:rsidP="002C1732">
      <w:pPr>
        <w:spacing w:after="120" w:line="360" w:lineRule="auto"/>
        <w:ind w:left="720"/>
        <w:rPr>
          <w:rStyle w:val="normaltextrun"/>
          <w:rFonts w:ascii="Arial" w:hAnsi="Arial"/>
          <w:i/>
          <w:sz w:val="20"/>
          <w:szCs w:val="20"/>
          <w:lang w:val="en-GB"/>
        </w:rPr>
      </w:pPr>
      <w:r>
        <w:rPr>
          <w:rFonts w:ascii="Arial" w:hAnsi="Arial"/>
          <w:i/>
          <w:sz w:val="20"/>
          <w:szCs w:val="20"/>
          <w:lang w:val="en-GB"/>
        </w:rPr>
        <w:t>‘</w:t>
      </w:r>
      <w:r w:rsidR="003C19ED" w:rsidRPr="002C1732">
        <w:rPr>
          <w:rStyle w:val="normaltextrun"/>
          <w:rFonts w:ascii="Arial" w:hAnsi="Arial"/>
          <w:i/>
          <w:sz w:val="20"/>
          <w:szCs w:val="20"/>
          <w:lang w:val="en-GB"/>
        </w:rPr>
        <w:t>The CSDDD definition will be a relevant point of reference for the sector-specific guidance for financial institutions and appropriate consideration in the timeline and approach should be given on how to ensure compatibility.</w:t>
      </w:r>
      <w:r>
        <w:rPr>
          <w:rStyle w:val="normaltextrun"/>
          <w:rFonts w:ascii="Arial" w:hAnsi="Arial"/>
          <w:i/>
          <w:sz w:val="20"/>
          <w:szCs w:val="20"/>
          <w:lang w:val="en-GB"/>
        </w:rPr>
        <w:t>’</w:t>
      </w:r>
      <w:r w:rsidR="003C19ED" w:rsidRPr="002C1732">
        <w:rPr>
          <w:rStyle w:val="normaltextrun"/>
          <w:rFonts w:ascii="Arial" w:hAnsi="Arial"/>
          <w:i/>
          <w:sz w:val="20"/>
          <w:szCs w:val="20"/>
          <w:lang w:val="en-GB"/>
        </w:rPr>
        <w:t xml:space="preserve"> </w:t>
      </w:r>
    </w:p>
    <w:p w14:paraId="7A06A644" w14:textId="21AB0AAD" w:rsidR="00310608" w:rsidRPr="0083695F" w:rsidRDefault="003C19ED" w:rsidP="004002AC">
      <w:pPr>
        <w:spacing w:after="120" w:line="360" w:lineRule="auto"/>
        <w:rPr>
          <w:rFonts w:ascii="Arial" w:hAnsi="Arial" w:cs="Arial"/>
          <w:sz w:val="20"/>
          <w:szCs w:val="20"/>
          <w:lang w:val="en-GB"/>
        </w:rPr>
      </w:pPr>
      <w:r w:rsidRPr="002C1732">
        <w:rPr>
          <w:rFonts w:ascii="Arial" w:hAnsi="Arial"/>
          <w:sz w:val="20"/>
          <w:szCs w:val="20"/>
          <w:lang w:val="en-GB"/>
        </w:rPr>
        <w:t xml:space="preserve">As the CSRD and CSDDD are closely inter-related and complementary to each other, we emphasize the need to align the ESRS and CSDDD definition of </w:t>
      </w:r>
      <w:r w:rsidR="00453A5F" w:rsidRPr="0083695F">
        <w:rPr>
          <w:rFonts w:ascii="Arial" w:hAnsi="Arial" w:cs="Arial"/>
          <w:sz w:val="20"/>
          <w:szCs w:val="20"/>
          <w:lang w:val="en-GB"/>
        </w:rPr>
        <w:t>‘V</w:t>
      </w:r>
      <w:r w:rsidRPr="0083695F">
        <w:rPr>
          <w:rFonts w:ascii="Arial" w:hAnsi="Arial" w:cs="Arial"/>
          <w:sz w:val="20"/>
          <w:szCs w:val="20"/>
          <w:lang w:val="en-GB"/>
        </w:rPr>
        <w:t xml:space="preserve">alue </w:t>
      </w:r>
      <w:r w:rsidR="00453A5F" w:rsidRPr="0083695F">
        <w:rPr>
          <w:rFonts w:ascii="Arial" w:hAnsi="Arial" w:cs="Arial"/>
          <w:sz w:val="20"/>
          <w:szCs w:val="20"/>
          <w:lang w:val="en-GB"/>
        </w:rPr>
        <w:t>C</w:t>
      </w:r>
      <w:r w:rsidRPr="0083695F">
        <w:rPr>
          <w:rFonts w:ascii="Arial" w:hAnsi="Arial" w:cs="Arial"/>
          <w:sz w:val="20"/>
          <w:szCs w:val="20"/>
          <w:lang w:val="en-GB"/>
        </w:rPr>
        <w:t>hain</w:t>
      </w:r>
      <w:r w:rsidR="00453A5F" w:rsidRPr="0083695F">
        <w:rPr>
          <w:rFonts w:ascii="Arial" w:hAnsi="Arial" w:cs="Arial"/>
          <w:sz w:val="20"/>
          <w:szCs w:val="20"/>
          <w:lang w:val="en-GB"/>
        </w:rPr>
        <w:t>’</w:t>
      </w:r>
      <w:r w:rsidRPr="002C1732">
        <w:rPr>
          <w:rFonts w:ascii="Arial" w:hAnsi="Arial"/>
          <w:sz w:val="20"/>
          <w:szCs w:val="20"/>
          <w:lang w:val="en-GB"/>
        </w:rPr>
        <w:t xml:space="preserve"> for the financial sector in accordance with the </w:t>
      </w:r>
      <w:r w:rsidR="00927D7C">
        <w:rPr>
          <w:rFonts w:ascii="Arial" w:hAnsi="Arial"/>
          <w:sz w:val="20"/>
          <w:szCs w:val="20"/>
          <w:lang w:val="en-GB"/>
        </w:rPr>
        <w:t xml:space="preserve">CSDDD text based on the provisional deal that was reached on 14 December 2023 by delegations of the European Council and the European Parliament. In that text </w:t>
      </w:r>
      <w:r w:rsidR="00310608" w:rsidRPr="0083695F">
        <w:rPr>
          <w:rFonts w:ascii="Arial" w:hAnsi="Arial" w:cs="Arial"/>
          <w:sz w:val="20"/>
          <w:szCs w:val="20"/>
          <w:lang w:val="en-GB"/>
        </w:rPr>
        <w:t xml:space="preserve">the definition of </w:t>
      </w:r>
      <w:r w:rsidR="002C1732">
        <w:rPr>
          <w:rFonts w:ascii="Arial" w:hAnsi="Arial" w:cs="Arial"/>
          <w:sz w:val="20"/>
          <w:szCs w:val="20"/>
          <w:lang w:val="en-GB"/>
        </w:rPr>
        <w:t>V</w:t>
      </w:r>
      <w:r w:rsidRPr="0083695F">
        <w:rPr>
          <w:rFonts w:ascii="Arial" w:hAnsi="Arial" w:cs="Arial"/>
          <w:sz w:val="20"/>
          <w:szCs w:val="20"/>
          <w:lang w:val="en-GB"/>
        </w:rPr>
        <w:t>alue</w:t>
      </w:r>
      <w:r w:rsidR="00310608" w:rsidRPr="0083695F">
        <w:rPr>
          <w:rFonts w:ascii="Arial" w:hAnsi="Arial" w:cs="Arial"/>
          <w:sz w:val="20"/>
          <w:szCs w:val="20"/>
          <w:lang w:val="en-GB"/>
        </w:rPr>
        <w:t xml:space="preserve"> </w:t>
      </w:r>
      <w:r w:rsidR="002C1732">
        <w:rPr>
          <w:rFonts w:ascii="Arial" w:hAnsi="Arial" w:cs="Arial"/>
          <w:sz w:val="20"/>
          <w:szCs w:val="20"/>
          <w:lang w:val="en-GB"/>
        </w:rPr>
        <w:t>C</w:t>
      </w:r>
      <w:r w:rsidR="00310608" w:rsidRPr="0083695F">
        <w:rPr>
          <w:rFonts w:ascii="Arial" w:hAnsi="Arial" w:cs="Arial"/>
          <w:sz w:val="20"/>
          <w:szCs w:val="20"/>
          <w:lang w:val="en-GB"/>
        </w:rPr>
        <w:t>hain for the fin</w:t>
      </w:r>
      <w:r w:rsidR="00927D7C">
        <w:rPr>
          <w:rFonts w:ascii="Arial" w:hAnsi="Arial" w:cs="Arial"/>
          <w:sz w:val="20"/>
          <w:szCs w:val="20"/>
          <w:lang w:val="en-GB"/>
        </w:rPr>
        <w:t>an</w:t>
      </w:r>
      <w:r w:rsidR="00310608" w:rsidRPr="0083695F">
        <w:rPr>
          <w:rFonts w:ascii="Arial" w:hAnsi="Arial" w:cs="Arial"/>
          <w:sz w:val="20"/>
          <w:szCs w:val="20"/>
          <w:lang w:val="en-GB"/>
        </w:rPr>
        <w:t>c</w:t>
      </w:r>
      <w:r w:rsidR="00927D7C">
        <w:rPr>
          <w:rFonts w:ascii="Arial" w:hAnsi="Arial" w:cs="Arial"/>
          <w:sz w:val="20"/>
          <w:szCs w:val="20"/>
          <w:lang w:val="en-GB"/>
        </w:rPr>
        <w:t>i</w:t>
      </w:r>
      <w:r w:rsidR="00310608" w:rsidRPr="0083695F">
        <w:rPr>
          <w:rFonts w:ascii="Arial" w:hAnsi="Arial" w:cs="Arial"/>
          <w:sz w:val="20"/>
          <w:szCs w:val="20"/>
          <w:lang w:val="en-GB"/>
        </w:rPr>
        <w:t>al sector</w:t>
      </w:r>
      <w:r w:rsidRPr="0083695F">
        <w:rPr>
          <w:rFonts w:ascii="Arial" w:hAnsi="Arial" w:cs="Arial"/>
          <w:sz w:val="20"/>
          <w:szCs w:val="20"/>
          <w:lang w:val="en-GB"/>
        </w:rPr>
        <w:t xml:space="preserve"> </w:t>
      </w:r>
      <w:r w:rsidR="00927D7C">
        <w:rPr>
          <w:rFonts w:ascii="Arial" w:hAnsi="Arial" w:cs="Arial"/>
          <w:sz w:val="20"/>
          <w:szCs w:val="20"/>
          <w:lang w:val="en-GB"/>
        </w:rPr>
        <w:t xml:space="preserve">is limited </w:t>
      </w:r>
      <w:r w:rsidRPr="0083695F">
        <w:rPr>
          <w:rFonts w:ascii="Arial" w:hAnsi="Arial" w:cs="Arial"/>
          <w:sz w:val="20"/>
          <w:szCs w:val="20"/>
          <w:lang w:val="en-GB"/>
        </w:rPr>
        <w:t xml:space="preserve">to only the upstream </w:t>
      </w:r>
      <w:r w:rsidR="007A53D4">
        <w:rPr>
          <w:rFonts w:ascii="Arial" w:hAnsi="Arial" w:cs="Arial"/>
          <w:sz w:val="20"/>
          <w:szCs w:val="20"/>
          <w:lang w:val="en-GB"/>
        </w:rPr>
        <w:t>V</w:t>
      </w:r>
      <w:r w:rsidRPr="0083695F">
        <w:rPr>
          <w:rFonts w:ascii="Arial" w:hAnsi="Arial" w:cs="Arial"/>
          <w:sz w:val="20"/>
          <w:szCs w:val="20"/>
          <w:lang w:val="en-GB"/>
        </w:rPr>
        <w:t xml:space="preserve">alue </w:t>
      </w:r>
      <w:r w:rsidR="007A53D4">
        <w:rPr>
          <w:rFonts w:ascii="Arial" w:hAnsi="Arial" w:cs="Arial"/>
          <w:sz w:val="20"/>
          <w:szCs w:val="20"/>
          <w:lang w:val="en-GB"/>
        </w:rPr>
        <w:t>C</w:t>
      </w:r>
      <w:r w:rsidR="007A53D4" w:rsidRPr="0083695F">
        <w:rPr>
          <w:rFonts w:ascii="Arial" w:hAnsi="Arial" w:cs="Arial"/>
          <w:sz w:val="20"/>
          <w:szCs w:val="20"/>
          <w:lang w:val="en-GB"/>
        </w:rPr>
        <w:t>hain</w:t>
      </w:r>
      <w:r w:rsidR="00310608" w:rsidRPr="0083695F">
        <w:rPr>
          <w:rFonts w:ascii="Arial" w:hAnsi="Arial" w:cs="Arial"/>
          <w:sz w:val="20"/>
          <w:szCs w:val="20"/>
          <w:lang w:val="en-GB"/>
        </w:rPr>
        <w:t xml:space="preserve">. </w:t>
      </w:r>
    </w:p>
    <w:p w14:paraId="0D66D000" w14:textId="77777777" w:rsidR="007F2E51" w:rsidRDefault="007F2E51" w:rsidP="007F2E51">
      <w:pPr>
        <w:spacing w:after="120" w:line="360" w:lineRule="auto"/>
        <w:rPr>
          <w:rFonts w:ascii="Arial" w:hAnsi="Arial" w:cs="Arial"/>
          <w:sz w:val="20"/>
          <w:szCs w:val="20"/>
          <w:lang w:val="en-GB"/>
        </w:rPr>
      </w:pPr>
    </w:p>
    <w:p w14:paraId="3C464CEB" w14:textId="59ED53E6" w:rsidR="007F2E51" w:rsidRDefault="007F2E51" w:rsidP="007F2E51">
      <w:pPr>
        <w:spacing w:after="120" w:line="360" w:lineRule="auto"/>
        <w:rPr>
          <w:rFonts w:ascii="Arial" w:hAnsi="Arial" w:cs="Arial"/>
          <w:sz w:val="20"/>
          <w:szCs w:val="20"/>
          <w:lang w:val="en-GB"/>
        </w:rPr>
      </w:pPr>
      <w:r>
        <w:rPr>
          <w:rFonts w:ascii="Arial" w:hAnsi="Arial" w:cs="Arial"/>
          <w:sz w:val="20"/>
          <w:szCs w:val="20"/>
          <w:lang w:val="en-GB"/>
        </w:rPr>
        <w:t>Furthermore, w</w:t>
      </w:r>
      <w:r w:rsidRPr="00BB7F8B">
        <w:rPr>
          <w:rFonts w:ascii="Arial" w:hAnsi="Arial" w:cs="Arial"/>
          <w:sz w:val="20"/>
          <w:szCs w:val="20"/>
          <w:lang w:val="en-GB"/>
        </w:rPr>
        <w:t xml:space="preserve">e note that recital 44a of the CSDDD clearly makes a link between reporting on due diligence under the CSRD and due diligence requirements under the CSDDD. Recital 44a reads as follows: </w:t>
      </w:r>
    </w:p>
    <w:p w14:paraId="7001A0B2" w14:textId="611854A6" w:rsidR="007F2E51" w:rsidRPr="005A552E" w:rsidRDefault="002C426C" w:rsidP="007F2E51">
      <w:pPr>
        <w:spacing w:after="120" w:line="360" w:lineRule="auto"/>
        <w:ind w:left="720"/>
        <w:rPr>
          <w:rFonts w:ascii="Arial" w:hAnsi="Arial" w:cs="Arial"/>
          <w:i/>
          <w:iCs/>
          <w:sz w:val="20"/>
          <w:szCs w:val="20"/>
          <w:lang w:val="en-GB"/>
        </w:rPr>
      </w:pPr>
      <w:r>
        <w:rPr>
          <w:rFonts w:ascii="Arial" w:hAnsi="Arial" w:cs="Arial"/>
          <w:i/>
          <w:iCs/>
          <w:sz w:val="20"/>
          <w:szCs w:val="20"/>
          <w:lang w:val="en-GB"/>
        </w:rPr>
        <w:t>‘</w:t>
      </w:r>
      <w:r w:rsidR="007F2E51" w:rsidRPr="005A552E">
        <w:rPr>
          <w:rFonts w:ascii="Arial" w:hAnsi="Arial" w:cs="Arial"/>
          <w:i/>
          <w:iCs/>
          <w:sz w:val="20"/>
          <w:szCs w:val="20"/>
          <w:lang w:val="en-GB"/>
        </w:rPr>
        <w:t>The requirement on companies which are under the scope of this Directive and at the same time are subject to reporting requirements under Articles 19a, 29a and 40a of Directive 2013/34/EU to report on their due diligence process as stipulated in Article</w:t>
      </w:r>
      <w:r w:rsidR="00762C5A">
        <w:rPr>
          <w:rFonts w:ascii="Arial" w:hAnsi="Arial" w:cs="Arial"/>
          <w:i/>
          <w:iCs/>
          <w:sz w:val="20"/>
          <w:szCs w:val="20"/>
          <w:lang w:val="en-GB"/>
        </w:rPr>
        <w:t>s</w:t>
      </w:r>
      <w:r w:rsidR="007F2E51" w:rsidRPr="005A552E">
        <w:rPr>
          <w:rFonts w:ascii="Arial" w:hAnsi="Arial" w:cs="Arial"/>
          <w:i/>
          <w:iCs/>
          <w:sz w:val="20"/>
          <w:szCs w:val="20"/>
          <w:lang w:val="en-GB"/>
        </w:rPr>
        <w:t xml:space="preserve"> 19a, 29a and 40a of Directive 2013/34/EU should be understood as a requirement for companies to describe how they implement due diligence as provided for in this Directive.</w:t>
      </w:r>
      <w:r>
        <w:rPr>
          <w:rFonts w:ascii="Arial" w:hAnsi="Arial" w:cs="Arial"/>
          <w:i/>
          <w:iCs/>
          <w:sz w:val="20"/>
          <w:szCs w:val="20"/>
          <w:lang w:val="en-GB"/>
        </w:rPr>
        <w:t>’</w:t>
      </w:r>
    </w:p>
    <w:p w14:paraId="7AF66F8C" w14:textId="7364590E" w:rsidR="00BB7F8B" w:rsidRDefault="007F2E51" w:rsidP="00FD2C6E">
      <w:pPr>
        <w:spacing w:after="120" w:line="360" w:lineRule="auto"/>
        <w:rPr>
          <w:rFonts w:ascii="Arial" w:hAnsi="Arial" w:cs="Arial"/>
          <w:sz w:val="20"/>
          <w:szCs w:val="20"/>
          <w:lang w:val="en-GB"/>
        </w:rPr>
      </w:pPr>
      <w:r w:rsidRPr="00BB7F8B">
        <w:rPr>
          <w:rFonts w:ascii="Arial" w:hAnsi="Arial" w:cs="Arial"/>
          <w:sz w:val="20"/>
          <w:szCs w:val="20"/>
          <w:lang w:val="en-GB"/>
        </w:rPr>
        <w:lastRenderedPageBreak/>
        <w:t xml:space="preserve">The CSDDD due diligence requirements for financial institutions do not cover the downstream value chain (clients and investments are excluded), as opposed to the ESRS sector agnostic definition of </w:t>
      </w:r>
      <w:r w:rsidR="00FB5D70">
        <w:rPr>
          <w:rFonts w:ascii="Arial" w:hAnsi="Arial" w:cs="Arial"/>
          <w:sz w:val="20"/>
          <w:szCs w:val="20"/>
          <w:lang w:val="en-GB"/>
        </w:rPr>
        <w:t>V</w:t>
      </w:r>
      <w:r w:rsidRPr="00BB7F8B">
        <w:rPr>
          <w:rFonts w:ascii="Arial" w:hAnsi="Arial" w:cs="Arial"/>
          <w:sz w:val="20"/>
          <w:szCs w:val="20"/>
          <w:lang w:val="en-GB"/>
        </w:rPr>
        <w:t xml:space="preserve">alue </w:t>
      </w:r>
      <w:r w:rsidR="00FB5D70">
        <w:rPr>
          <w:rFonts w:ascii="Arial" w:hAnsi="Arial" w:cs="Arial"/>
          <w:sz w:val="20"/>
          <w:szCs w:val="20"/>
          <w:lang w:val="en-GB"/>
        </w:rPr>
        <w:t>C</w:t>
      </w:r>
      <w:r w:rsidRPr="00BB7F8B">
        <w:rPr>
          <w:rFonts w:ascii="Arial" w:hAnsi="Arial" w:cs="Arial"/>
          <w:sz w:val="20"/>
          <w:szCs w:val="20"/>
          <w:lang w:val="en-GB"/>
        </w:rPr>
        <w:t>hain.</w:t>
      </w:r>
    </w:p>
    <w:p w14:paraId="4FC8BA29" w14:textId="77777777" w:rsidR="00BB7F8B" w:rsidRPr="0083695F" w:rsidRDefault="00BB7F8B" w:rsidP="00FD2C6E">
      <w:pPr>
        <w:spacing w:after="120" w:line="360" w:lineRule="auto"/>
        <w:rPr>
          <w:rFonts w:ascii="Arial" w:hAnsi="Arial" w:cs="Arial"/>
          <w:sz w:val="20"/>
          <w:szCs w:val="20"/>
          <w:lang w:val="en-GB"/>
        </w:rPr>
      </w:pPr>
    </w:p>
    <w:p w14:paraId="799BB11A" w14:textId="77777777" w:rsidR="00D942EE" w:rsidRPr="0083695F" w:rsidRDefault="00D942EE" w:rsidP="00FD2C6E">
      <w:pPr>
        <w:spacing w:after="120" w:line="360" w:lineRule="auto"/>
        <w:rPr>
          <w:rFonts w:ascii="Arial" w:hAnsi="Arial" w:cs="Arial"/>
          <w:sz w:val="20"/>
          <w:szCs w:val="20"/>
          <w:lang w:val="en-GB"/>
        </w:rPr>
      </w:pPr>
      <w:r w:rsidRPr="0083695F">
        <w:rPr>
          <w:rFonts w:ascii="Arial" w:hAnsi="Arial" w:cs="Arial"/>
          <w:sz w:val="20"/>
          <w:szCs w:val="20"/>
          <w:lang w:val="en-GB"/>
        </w:rPr>
        <w:t>Of course, we are available to further explain this letter if desired. Our contact person is Martijn Bos (email: martijn.bos@eumedion.nl, tel. 070 2040 304).</w:t>
      </w:r>
    </w:p>
    <w:p w14:paraId="64E627DB" w14:textId="77777777" w:rsidR="00D942EE" w:rsidRPr="0083695F" w:rsidRDefault="00D942EE" w:rsidP="00FD2C6E">
      <w:pPr>
        <w:spacing w:after="120" w:line="360" w:lineRule="auto"/>
        <w:rPr>
          <w:rFonts w:ascii="Arial" w:hAnsi="Arial" w:cs="Arial"/>
          <w:sz w:val="20"/>
          <w:szCs w:val="20"/>
          <w:lang w:val="en-GB"/>
        </w:rPr>
      </w:pPr>
    </w:p>
    <w:p w14:paraId="6C93EEAC" w14:textId="77777777" w:rsidR="00D942EE" w:rsidRPr="0083695F" w:rsidRDefault="00D942EE" w:rsidP="00FD2C6E">
      <w:pPr>
        <w:spacing w:after="120" w:line="360" w:lineRule="auto"/>
        <w:rPr>
          <w:rFonts w:ascii="Arial" w:hAnsi="Arial" w:cs="Arial"/>
          <w:sz w:val="20"/>
          <w:szCs w:val="20"/>
          <w:lang w:val="en-GB"/>
        </w:rPr>
      </w:pPr>
      <w:r w:rsidRPr="0083695F">
        <w:rPr>
          <w:rFonts w:ascii="Arial" w:hAnsi="Arial" w:cs="Arial"/>
          <w:sz w:val="20"/>
          <w:szCs w:val="20"/>
          <w:lang w:val="en-GB"/>
        </w:rPr>
        <w:t>Yours sincerely,</w:t>
      </w:r>
    </w:p>
    <w:p w14:paraId="02382ED4" w14:textId="77777777" w:rsidR="00D942EE" w:rsidRPr="0083695F" w:rsidRDefault="00D942EE" w:rsidP="00FD2C6E">
      <w:pPr>
        <w:spacing w:after="120" w:line="360" w:lineRule="auto"/>
        <w:rPr>
          <w:rFonts w:ascii="Arial" w:hAnsi="Arial" w:cs="Arial"/>
          <w:sz w:val="20"/>
          <w:szCs w:val="20"/>
          <w:lang w:val="en-GB"/>
        </w:rPr>
      </w:pPr>
    </w:p>
    <w:p w14:paraId="001B878D" w14:textId="77777777" w:rsidR="00FD2C6E" w:rsidRPr="0083695F" w:rsidRDefault="00FD2C6E" w:rsidP="00FD2C6E">
      <w:pPr>
        <w:spacing w:after="120" w:line="360" w:lineRule="auto"/>
        <w:rPr>
          <w:rFonts w:ascii="Arial" w:hAnsi="Arial" w:cs="Arial"/>
          <w:sz w:val="20"/>
          <w:szCs w:val="20"/>
          <w:lang w:val="en-GB"/>
        </w:rPr>
      </w:pPr>
    </w:p>
    <w:p w14:paraId="3B2BD745" w14:textId="77777777" w:rsidR="00FD2C6E" w:rsidRPr="0083695F" w:rsidRDefault="00FD2C6E" w:rsidP="00FD2C6E">
      <w:pPr>
        <w:spacing w:after="120" w:line="360" w:lineRule="auto"/>
        <w:rPr>
          <w:rFonts w:ascii="Arial" w:hAnsi="Arial" w:cs="Arial"/>
          <w:sz w:val="20"/>
          <w:szCs w:val="20"/>
          <w:lang w:val="en-GB"/>
        </w:rPr>
      </w:pPr>
      <w:r w:rsidRPr="0083695F">
        <w:rPr>
          <w:rFonts w:ascii="Arial" w:hAnsi="Arial" w:cs="Arial"/>
          <w:sz w:val="20"/>
          <w:szCs w:val="20"/>
          <w:lang w:val="en-GB"/>
        </w:rPr>
        <w:t>Rients Abma</w:t>
      </w:r>
    </w:p>
    <w:p w14:paraId="1BEE4641" w14:textId="77777777" w:rsidR="00FD2C6E" w:rsidRPr="0083695F" w:rsidRDefault="00FD2C6E" w:rsidP="00FD2C6E">
      <w:pPr>
        <w:spacing w:after="120" w:line="360" w:lineRule="auto"/>
        <w:rPr>
          <w:rFonts w:ascii="Arial" w:hAnsi="Arial" w:cs="Arial"/>
          <w:sz w:val="20"/>
          <w:szCs w:val="20"/>
          <w:lang w:val="en-GB"/>
        </w:rPr>
      </w:pPr>
      <w:r w:rsidRPr="0083695F">
        <w:rPr>
          <w:rFonts w:ascii="Arial" w:hAnsi="Arial" w:cs="Arial"/>
          <w:sz w:val="20"/>
          <w:szCs w:val="20"/>
          <w:lang w:val="en-GB"/>
        </w:rPr>
        <w:t>Directeur Eumedion</w:t>
      </w:r>
      <w:r w:rsidRPr="0083695F">
        <w:rPr>
          <w:rFonts w:ascii="Arial" w:hAnsi="Arial" w:cs="Arial"/>
          <w:sz w:val="20"/>
          <w:szCs w:val="20"/>
          <w:lang w:val="en-GB"/>
        </w:rPr>
        <w:br/>
        <w:t>Zuid Hollandlaan 7</w:t>
      </w:r>
      <w:r w:rsidRPr="0083695F">
        <w:rPr>
          <w:rFonts w:ascii="Arial" w:hAnsi="Arial" w:cs="Arial"/>
          <w:sz w:val="20"/>
          <w:szCs w:val="20"/>
          <w:lang w:val="en-GB"/>
        </w:rPr>
        <w:br/>
        <w:t>2596 AL DEN HAAG</w:t>
      </w:r>
    </w:p>
    <w:p w14:paraId="1F09DD11" w14:textId="77777777" w:rsidR="00FD2C6E" w:rsidRPr="0083695F" w:rsidRDefault="00FD2C6E" w:rsidP="00FD2C6E">
      <w:pPr>
        <w:spacing w:after="120" w:line="360" w:lineRule="auto"/>
        <w:rPr>
          <w:rFonts w:ascii="Arial" w:hAnsi="Arial" w:cs="Arial"/>
          <w:bCs/>
          <w:sz w:val="20"/>
          <w:szCs w:val="20"/>
          <w:lang w:val="en-GB"/>
        </w:rPr>
      </w:pPr>
    </w:p>
    <w:p w14:paraId="03AB61E2" w14:textId="77777777" w:rsidR="0067419E" w:rsidRPr="0083695F" w:rsidRDefault="0067419E" w:rsidP="00FD2C6E">
      <w:pPr>
        <w:tabs>
          <w:tab w:val="left" w:pos="1134"/>
        </w:tabs>
        <w:spacing w:after="120" w:line="360" w:lineRule="auto"/>
        <w:rPr>
          <w:rFonts w:ascii="Arial" w:hAnsi="Arial" w:cs="Arial"/>
          <w:bCs/>
          <w:sz w:val="20"/>
          <w:szCs w:val="20"/>
          <w:lang w:val="en-GB"/>
        </w:rPr>
      </w:pPr>
    </w:p>
    <w:sectPr w:rsidR="0067419E" w:rsidRPr="0083695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F3D65" w14:textId="77777777" w:rsidR="007403BF" w:rsidRPr="00F73C35" w:rsidRDefault="007403BF" w:rsidP="005D61B1">
      <w:pPr>
        <w:spacing w:after="0" w:line="240" w:lineRule="auto"/>
      </w:pPr>
      <w:r w:rsidRPr="00F73C35">
        <w:separator/>
      </w:r>
    </w:p>
  </w:endnote>
  <w:endnote w:type="continuationSeparator" w:id="0">
    <w:p w14:paraId="07F40141" w14:textId="77777777" w:rsidR="007403BF" w:rsidRPr="00F73C35" w:rsidRDefault="007403BF" w:rsidP="005D61B1">
      <w:pPr>
        <w:spacing w:after="0" w:line="240" w:lineRule="auto"/>
      </w:pPr>
      <w:r w:rsidRPr="00F73C35">
        <w:continuationSeparator/>
      </w:r>
    </w:p>
  </w:endnote>
  <w:endnote w:type="continuationNotice" w:id="1">
    <w:p w14:paraId="68270759" w14:textId="77777777" w:rsidR="007403BF" w:rsidRDefault="00740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997234484"/>
      <w:docPartObj>
        <w:docPartGallery w:val="Page Numbers (Bottom of Page)"/>
        <w:docPartUnique/>
      </w:docPartObj>
    </w:sdtPr>
    <w:sdtContent>
      <w:p w14:paraId="4427C1CF" w14:textId="0200ACB1" w:rsidR="00E43DE6" w:rsidRPr="00ED776B" w:rsidRDefault="00E43DE6">
        <w:pPr>
          <w:pStyle w:val="Footer"/>
          <w:jc w:val="center"/>
          <w:rPr>
            <w:rFonts w:ascii="Arial" w:hAnsi="Arial" w:cs="Arial"/>
            <w:sz w:val="20"/>
            <w:szCs w:val="20"/>
          </w:rPr>
        </w:pPr>
        <w:r w:rsidRPr="00ED776B">
          <w:rPr>
            <w:rFonts w:ascii="Arial" w:hAnsi="Arial" w:cs="Arial"/>
            <w:sz w:val="20"/>
            <w:szCs w:val="20"/>
          </w:rPr>
          <w:fldChar w:fldCharType="begin"/>
        </w:r>
        <w:r w:rsidRPr="00ED776B">
          <w:rPr>
            <w:rFonts w:ascii="Arial" w:hAnsi="Arial" w:cs="Arial"/>
            <w:sz w:val="20"/>
            <w:szCs w:val="20"/>
          </w:rPr>
          <w:instrText>PAGE   \* MERGEFORMAT</w:instrText>
        </w:r>
        <w:r w:rsidRPr="00ED776B">
          <w:rPr>
            <w:rFonts w:ascii="Arial" w:hAnsi="Arial" w:cs="Arial"/>
            <w:sz w:val="20"/>
            <w:szCs w:val="20"/>
          </w:rPr>
          <w:fldChar w:fldCharType="separate"/>
        </w:r>
        <w:r w:rsidRPr="00ED776B">
          <w:rPr>
            <w:rFonts w:ascii="Arial" w:hAnsi="Arial" w:cs="Arial"/>
            <w:sz w:val="20"/>
            <w:szCs w:val="20"/>
          </w:rPr>
          <w:t>2</w:t>
        </w:r>
        <w:r w:rsidRPr="00ED776B">
          <w:rPr>
            <w:rFonts w:ascii="Arial" w:hAnsi="Arial" w:cs="Arial"/>
            <w:sz w:val="20"/>
            <w:szCs w:val="20"/>
          </w:rPr>
          <w:fldChar w:fldCharType="end"/>
        </w:r>
      </w:p>
    </w:sdtContent>
  </w:sdt>
  <w:p w14:paraId="6AC37588" w14:textId="77777777" w:rsidR="00E43DE6" w:rsidRPr="00ED776B" w:rsidRDefault="00E43DE6">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75909" w14:textId="77777777" w:rsidR="007403BF" w:rsidRPr="00F73C35" w:rsidRDefault="007403BF" w:rsidP="005D61B1">
      <w:pPr>
        <w:spacing w:after="0" w:line="240" w:lineRule="auto"/>
      </w:pPr>
      <w:r w:rsidRPr="00F73C35">
        <w:separator/>
      </w:r>
    </w:p>
  </w:footnote>
  <w:footnote w:type="continuationSeparator" w:id="0">
    <w:p w14:paraId="2EE22467" w14:textId="77777777" w:rsidR="007403BF" w:rsidRPr="00F73C35" w:rsidRDefault="007403BF" w:rsidP="005D61B1">
      <w:pPr>
        <w:spacing w:after="0" w:line="240" w:lineRule="auto"/>
      </w:pPr>
      <w:r w:rsidRPr="00F73C35">
        <w:continuationSeparator/>
      </w:r>
    </w:p>
  </w:footnote>
  <w:footnote w:type="continuationNotice" w:id="1">
    <w:p w14:paraId="42E051FE" w14:textId="77777777" w:rsidR="007403BF" w:rsidRDefault="007403BF">
      <w:pPr>
        <w:spacing w:after="0" w:line="240" w:lineRule="auto"/>
      </w:pPr>
    </w:p>
  </w:footnote>
  <w:footnote w:id="2">
    <w:p w14:paraId="10811F1E" w14:textId="611DDC3C" w:rsidR="00FC4FD9" w:rsidRPr="006F6BDF" w:rsidRDefault="00FC4FD9">
      <w:pPr>
        <w:pStyle w:val="FootnoteText"/>
        <w:rPr>
          <w:rFonts w:ascii="Arial" w:hAnsi="Arial" w:cs="Arial"/>
          <w:lang w:val="en-US"/>
        </w:rPr>
      </w:pPr>
      <w:r w:rsidRPr="00FC4FD9">
        <w:rPr>
          <w:rStyle w:val="FootnoteReference"/>
          <w:rFonts w:ascii="Arial" w:hAnsi="Arial" w:cs="Arial"/>
          <w:sz w:val="16"/>
          <w:szCs w:val="16"/>
        </w:rPr>
        <w:footnoteRef/>
      </w:r>
      <w:r w:rsidRPr="006F6BDF">
        <w:rPr>
          <w:rFonts w:ascii="Arial" w:hAnsi="Arial" w:cs="Arial"/>
          <w:sz w:val="16"/>
          <w:szCs w:val="16"/>
          <w:lang w:val="en-US"/>
        </w:rPr>
        <w:t xml:space="preserve"> I.e. managing portfolios in accordance with mandates given by clients on a discretionary client-by-client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D24A" w14:textId="77777777" w:rsidR="000E7C20" w:rsidRDefault="000E7C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5884"/>
    <w:multiLevelType w:val="hybridMultilevel"/>
    <w:tmpl w:val="ED58DB3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4816E1"/>
    <w:multiLevelType w:val="hybridMultilevel"/>
    <w:tmpl w:val="8160B116"/>
    <w:lvl w:ilvl="0" w:tplc="4E963F4E">
      <w:start w:val="1"/>
      <w:numFmt w:val="decimal"/>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7035B88"/>
    <w:multiLevelType w:val="hybridMultilevel"/>
    <w:tmpl w:val="71A4FF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0647B0"/>
    <w:multiLevelType w:val="hybridMultilevel"/>
    <w:tmpl w:val="EC2880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3B7C75"/>
    <w:multiLevelType w:val="hybridMultilevel"/>
    <w:tmpl w:val="C38084C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9340A4C"/>
    <w:multiLevelType w:val="hybridMultilevel"/>
    <w:tmpl w:val="55DA1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F0B7062"/>
    <w:multiLevelType w:val="hybridMultilevel"/>
    <w:tmpl w:val="DC10F2C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00613FF"/>
    <w:multiLevelType w:val="hybridMultilevel"/>
    <w:tmpl w:val="276CDF9A"/>
    <w:lvl w:ilvl="0" w:tplc="70803BC4">
      <w:start w:val="1"/>
      <w:numFmt w:val="lowerLetter"/>
      <w:lvlText w:val="(%1)"/>
      <w:lvlJc w:val="left"/>
      <w:pPr>
        <w:ind w:left="410" w:hanging="36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8" w15:restartNumberingAfterBreak="0">
    <w:nsid w:val="79A154FE"/>
    <w:multiLevelType w:val="hybridMultilevel"/>
    <w:tmpl w:val="C67AAD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B1C22AE"/>
    <w:multiLevelType w:val="hybridMultilevel"/>
    <w:tmpl w:val="2DB4AB0A"/>
    <w:lvl w:ilvl="0" w:tplc="AD68DD1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CBB5B17"/>
    <w:multiLevelType w:val="hybridMultilevel"/>
    <w:tmpl w:val="4AFC3A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8036629">
    <w:abstractNumId w:val="3"/>
  </w:num>
  <w:num w:numId="2" w16cid:durableId="1868444614">
    <w:abstractNumId w:val="7"/>
  </w:num>
  <w:num w:numId="3" w16cid:durableId="1814984445">
    <w:abstractNumId w:val="5"/>
  </w:num>
  <w:num w:numId="4" w16cid:durableId="237522049">
    <w:abstractNumId w:val="4"/>
  </w:num>
  <w:num w:numId="5" w16cid:durableId="686178938">
    <w:abstractNumId w:val="1"/>
  </w:num>
  <w:num w:numId="6" w16cid:durableId="114180627">
    <w:abstractNumId w:val="9"/>
  </w:num>
  <w:num w:numId="7" w16cid:durableId="1411267061">
    <w:abstractNumId w:val="10"/>
  </w:num>
  <w:num w:numId="8" w16cid:durableId="564949662">
    <w:abstractNumId w:val="0"/>
  </w:num>
  <w:num w:numId="9" w16cid:durableId="724374896">
    <w:abstractNumId w:val="2"/>
  </w:num>
  <w:num w:numId="10" w16cid:durableId="706872839">
    <w:abstractNumId w:val="8"/>
  </w:num>
  <w:num w:numId="11" w16cid:durableId="9916370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01158"/>
    <w:rsid w:val="000073CC"/>
    <w:rsid w:val="0001026F"/>
    <w:rsid w:val="00010409"/>
    <w:rsid w:val="000162C8"/>
    <w:rsid w:val="00022F97"/>
    <w:rsid w:val="00025253"/>
    <w:rsid w:val="00034C2B"/>
    <w:rsid w:val="00041229"/>
    <w:rsid w:val="00067D15"/>
    <w:rsid w:val="00076EF9"/>
    <w:rsid w:val="000E2E3F"/>
    <w:rsid w:val="000E7C20"/>
    <w:rsid w:val="001002C9"/>
    <w:rsid w:val="00101A50"/>
    <w:rsid w:val="0011122B"/>
    <w:rsid w:val="00117492"/>
    <w:rsid w:val="00121608"/>
    <w:rsid w:val="001230F4"/>
    <w:rsid w:val="00131B4A"/>
    <w:rsid w:val="001466F3"/>
    <w:rsid w:val="0016031F"/>
    <w:rsid w:val="0017039A"/>
    <w:rsid w:val="00170798"/>
    <w:rsid w:val="00170956"/>
    <w:rsid w:val="001764FB"/>
    <w:rsid w:val="00194F23"/>
    <w:rsid w:val="001A29D5"/>
    <w:rsid w:val="001D1139"/>
    <w:rsid w:val="001D6B74"/>
    <w:rsid w:val="001E211E"/>
    <w:rsid w:val="001F4B15"/>
    <w:rsid w:val="002039E2"/>
    <w:rsid w:val="00205DE9"/>
    <w:rsid w:val="00211B09"/>
    <w:rsid w:val="0021281F"/>
    <w:rsid w:val="002235EE"/>
    <w:rsid w:val="0023611D"/>
    <w:rsid w:val="002470A5"/>
    <w:rsid w:val="002510E8"/>
    <w:rsid w:val="00253361"/>
    <w:rsid w:val="002535FE"/>
    <w:rsid w:val="002635A3"/>
    <w:rsid w:val="0028417D"/>
    <w:rsid w:val="002C1732"/>
    <w:rsid w:val="002C2915"/>
    <w:rsid w:val="002C426C"/>
    <w:rsid w:val="002D140D"/>
    <w:rsid w:val="002D3AAA"/>
    <w:rsid w:val="00304513"/>
    <w:rsid w:val="00310608"/>
    <w:rsid w:val="00325BE8"/>
    <w:rsid w:val="00332D50"/>
    <w:rsid w:val="003455B3"/>
    <w:rsid w:val="003575CD"/>
    <w:rsid w:val="003718FA"/>
    <w:rsid w:val="00377DCE"/>
    <w:rsid w:val="00383912"/>
    <w:rsid w:val="00392764"/>
    <w:rsid w:val="00392917"/>
    <w:rsid w:val="00393D8C"/>
    <w:rsid w:val="003A0CF7"/>
    <w:rsid w:val="003A63BA"/>
    <w:rsid w:val="003C0EB1"/>
    <w:rsid w:val="003C19ED"/>
    <w:rsid w:val="003F0475"/>
    <w:rsid w:val="003F21EB"/>
    <w:rsid w:val="004002AC"/>
    <w:rsid w:val="00431B62"/>
    <w:rsid w:val="00440390"/>
    <w:rsid w:val="00442283"/>
    <w:rsid w:val="00442FD7"/>
    <w:rsid w:val="00453A5F"/>
    <w:rsid w:val="0046176C"/>
    <w:rsid w:val="00462F0E"/>
    <w:rsid w:val="00463838"/>
    <w:rsid w:val="004952CB"/>
    <w:rsid w:val="004B4DB6"/>
    <w:rsid w:val="004D4725"/>
    <w:rsid w:val="004D531E"/>
    <w:rsid w:val="004E7904"/>
    <w:rsid w:val="00505DE7"/>
    <w:rsid w:val="00530CC2"/>
    <w:rsid w:val="005469B0"/>
    <w:rsid w:val="00565DF8"/>
    <w:rsid w:val="005764CE"/>
    <w:rsid w:val="005811B2"/>
    <w:rsid w:val="0059611F"/>
    <w:rsid w:val="005A72E1"/>
    <w:rsid w:val="005B1517"/>
    <w:rsid w:val="005B1AC8"/>
    <w:rsid w:val="005C5901"/>
    <w:rsid w:val="005D1CF0"/>
    <w:rsid w:val="005D4E03"/>
    <w:rsid w:val="005D61B1"/>
    <w:rsid w:val="005E48EF"/>
    <w:rsid w:val="005F2CD8"/>
    <w:rsid w:val="005F68AB"/>
    <w:rsid w:val="006163EE"/>
    <w:rsid w:val="006438FA"/>
    <w:rsid w:val="0067419E"/>
    <w:rsid w:val="00693A52"/>
    <w:rsid w:val="00694FFD"/>
    <w:rsid w:val="006A7C07"/>
    <w:rsid w:val="006B5455"/>
    <w:rsid w:val="006C5E39"/>
    <w:rsid w:val="006F6BDF"/>
    <w:rsid w:val="007156E2"/>
    <w:rsid w:val="00726230"/>
    <w:rsid w:val="007348D9"/>
    <w:rsid w:val="007403BF"/>
    <w:rsid w:val="00744F3C"/>
    <w:rsid w:val="00751C3B"/>
    <w:rsid w:val="00762C5A"/>
    <w:rsid w:val="007716A5"/>
    <w:rsid w:val="007777A9"/>
    <w:rsid w:val="00780F2A"/>
    <w:rsid w:val="007A53D4"/>
    <w:rsid w:val="007B01F4"/>
    <w:rsid w:val="007C27A5"/>
    <w:rsid w:val="007D77FA"/>
    <w:rsid w:val="007E09A0"/>
    <w:rsid w:val="007F2E51"/>
    <w:rsid w:val="007F33BD"/>
    <w:rsid w:val="00823C28"/>
    <w:rsid w:val="008246BA"/>
    <w:rsid w:val="0082646B"/>
    <w:rsid w:val="0083695F"/>
    <w:rsid w:val="00852342"/>
    <w:rsid w:val="00882632"/>
    <w:rsid w:val="00894B0F"/>
    <w:rsid w:val="008A562A"/>
    <w:rsid w:val="008B18FE"/>
    <w:rsid w:val="008B27FE"/>
    <w:rsid w:val="008D5E7B"/>
    <w:rsid w:val="008E002F"/>
    <w:rsid w:val="008E444C"/>
    <w:rsid w:val="008E4457"/>
    <w:rsid w:val="00904678"/>
    <w:rsid w:val="00904FC5"/>
    <w:rsid w:val="00907EE4"/>
    <w:rsid w:val="0092588A"/>
    <w:rsid w:val="00927D7C"/>
    <w:rsid w:val="00930875"/>
    <w:rsid w:val="009564BE"/>
    <w:rsid w:val="00971975"/>
    <w:rsid w:val="00976503"/>
    <w:rsid w:val="00982B21"/>
    <w:rsid w:val="0098572B"/>
    <w:rsid w:val="009878E8"/>
    <w:rsid w:val="009A2A2E"/>
    <w:rsid w:val="009E1A26"/>
    <w:rsid w:val="009F137C"/>
    <w:rsid w:val="00A04CEF"/>
    <w:rsid w:val="00A074F3"/>
    <w:rsid w:val="00A22A7E"/>
    <w:rsid w:val="00A537AA"/>
    <w:rsid w:val="00A65F81"/>
    <w:rsid w:val="00A71A63"/>
    <w:rsid w:val="00A77928"/>
    <w:rsid w:val="00A8176A"/>
    <w:rsid w:val="00AC5305"/>
    <w:rsid w:val="00AD47A8"/>
    <w:rsid w:val="00AD6AA1"/>
    <w:rsid w:val="00AF0325"/>
    <w:rsid w:val="00B058C1"/>
    <w:rsid w:val="00B12B20"/>
    <w:rsid w:val="00B5131A"/>
    <w:rsid w:val="00B52832"/>
    <w:rsid w:val="00B95BC5"/>
    <w:rsid w:val="00BA3D45"/>
    <w:rsid w:val="00BB7F8B"/>
    <w:rsid w:val="00BD72DB"/>
    <w:rsid w:val="00BE6255"/>
    <w:rsid w:val="00BF7165"/>
    <w:rsid w:val="00C06110"/>
    <w:rsid w:val="00C6558A"/>
    <w:rsid w:val="00C673C9"/>
    <w:rsid w:val="00CA0E7B"/>
    <w:rsid w:val="00CA722A"/>
    <w:rsid w:val="00D12B2F"/>
    <w:rsid w:val="00D3281D"/>
    <w:rsid w:val="00D424B3"/>
    <w:rsid w:val="00D54DCD"/>
    <w:rsid w:val="00D64623"/>
    <w:rsid w:val="00D83D14"/>
    <w:rsid w:val="00D86113"/>
    <w:rsid w:val="00D92584"/>
    <w:rsid w:val="00D942EE"/>
    <w:rsid w:val="00D9588D"/>
    <w:rsid w:val="00DF3872"/>
    <w:rsid w:val="00DF4FA0"/>
    <w:rsid w:val="00E007F2"/>
    <w:rsid w:val="00E13889"/>
    <w:rsid w:val="00E15BC3"/>
    <w:rsid w:val="00E43DE6"/>
    <w:rsid w:val="00E45CBD"/>
    <w:rsid w:val="00E83EDC"/>
    <w:rsid w:val="00E855E1"/>
    <w:rsid w:val="00E9345A"/>
    <w:rsid w:val="00EA3DF7"/>
    <w:rsid w:val="00EB0D5B"/>
    <w:rsid w:val="00EC1C99"/>
    <w:rsid w:val="00ED6844"/>
    <w:rsid w:val="00ED776B"/>
    <w:rsid w:val="00EE4920"/>
    <w:rsid w:val="00F14FD2"/>
    <w:rsid w:val="00F521CE"/>
    <w:rsid w:val="00F55B5E"/>
    <w:rsid w:val="00F70516"/>
    <w:rsid w:val="00F73C35"/>
    <w:rsid w:val="00F9366B"/>
    <w:rsid w:val="00FA6018"/>
    <w:rsid w:val="00FB5D70"/>
    <w:rsid w:val="00FC0097"/>
    <w:rsid w:val="00FC4FD9"/>
    <w:rsid w:val="00FD2C6E"/>
    <w:rsid w:val="00FE483E"/>
    <w:rsid w:val="00FF7A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4F38D"/>
  <w15:docId w15:val="{75B0AF1A-F796-4C5F-88C9-370CC03C1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521CE"/>
    <w:rPr>
      <w:sz w:val="16"/>
      <w:szCs w:val="16"/>
    </w:rPr>
  </w:style>
  <w:style w:type="paragraph" w:styleId="CommentText">
    <w:name w:val="annotation text"/>
    <w:basedOn w:val="Normal"/>
    <w:link w:val="CommentTextChar"/>
    <w:uiPriority w:val="99"/>
    <w:unhideWhenUsed/>
    <w:rsid w:val="00F521CE"/>
    <w:pPr>
      <w:spacing w:line="240" w:lineRule="auto"/>
    </w:pPr>
    <w:rPr>
      <w:sz w:val="20"/>
      <w:szCs w:val="20"/>
    </w:rPr>
  </w:style>
  <w:style w:type="character" w:customStyle="1" w:styleId="CommentTextChar">
    <w:name w:val="Comment Text Char"/>
    <w:basedOn w:val="DefaultParagraphFont"/>
    <w:link w:val="CommentText"/>
    <w:uiPriority w:val="99"/>
    <w:rsid w:val="00F521CE"/>
    <w:rPr>
      <w:noProof/>
      <w:sz w:val="20"/>
      <w:szCs w:val="20"/>
    </w:rPr>
  </w:style>
  <w:style w:type="paragraph" w:styleId="CommentSubject">
    <w:name w:val="annotation subject"/>
    <w:basedOn w:val="CommentText"/>
    <w:next w:val="CommentText"/>
    <w:link w:val="CommentSubjectChar"/>
    <w:uiPriority w:val="99"/>
    <w:semiHidden/>
    <w:unhideWhenUsed/>
    <w:rsid w:val="00F521CE"/>
    <w:rPr>
      <w:b/>
      <w:bCs/>
    </w:rPr>
  </w:style>
  <w:style w:type="character" w:customStyle="1" w:styleId="CommentSubjectChar">
    <w:name w:val="Comment Subject Char"/>
    <w:basedOn w:val="CommentTextChar"/>
    <w:link w:val="CommentSubject"/>
    <w:uiPriority w:val="99"/>
    <w:semiHidden/>
    <w:rsid w:val="00F521CE"/>
    <w:rPr>
      <w:b/>
      <w:bCs/>
      <w:noProof/>
      <w:sz w:val="20"/>
      <w:szCs w:val="20"/>
    </w:rPr>
  </w:style>
  <w:style w:type="paragraph" w:styleId="BalloonText">
    <w:name w:val="Balloon Text"/>
    <w:basedOn w:val="Normal"/>
    <w:link w:val="BalloonTextChar"/>
    <w:uiPriority w:val="99"/>
    <w:semiHidden/>
    <w:unhideWhenUsed/>
    <w:rsid w:val="00F521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1CE"/>
    <w:rPr>
      <w:rFonts w:ascii="Tahoma" w:hAnsi="Tahoma" w:cs="Tahoma"/>
      <w:noProof/>
      <w:sz w:val="16"/>
      <w:szCs w:val="16"/>
    </w:rPr>
  </w:style>
  <w:style w:type="paragraph" w:styleId="ListParagraph">
    <w:name w:val="List Paragraph"/>
    <w:basedOn w:val="Normal"/>
    <w:uiPriority w:val="34"/>
    <w:qFormat/>
    <w:rsid w:val="001A29D5"/>
    <w:pPr>
      <w:ind w:left="720"/>
      <w:contextualSpacing/>
    </w:pPr>
  </w:style>
  <w:style w:type="paragraph" w:styleId="FootnoteText">
    <w:name w:val="footnote text"/>
    <w:basedOn w:val="Normal"/>
    <w:link w:val="FootnoteTextChar"/>
    <w:uiPriority w:val="99"/>
    <w:semiHidden/>
    <w:unhideWhenUsed/>
    <w:rsid w:val="005D61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61B1"/>
    <w:rPr>
      <w:noProof/>
      <w:sz w:val="20"/>
      <w:szCs w:val="20"/>
    </w:rPr>
  </w:style>
  <w:style w:type="character" w:styleId="FootnoteReference">
    <w:name w:val="footnote reference"/>
    <w:basedOn w:val="DefaultParagraphFont"/>
    <w:uiPriority w:val="99"/>
    <w:semiHidden/>
    <w:unhideWhenUsed/>
    <w:rsid w:val="005D61B1"/>
    <w:rPr>
      <w:vertAlign w:val="superscript"/>
    </w:rPr>
  </w:style>
  <w:style w:type="character" w:styleId="Hyperlink">
    <w:name w:val="Hyperlink"/>
    <w:basedOn w:val="DefaultParagraphFont"/>
    <w:uiPriority w:val="99"/>
    <w:unhideWhenUsed/>
    <w:rsid w:val="005D61B1"/>
    <w:rPr>
      <w:color w:val="0000FF" w:themeColor="hyperlink"/>
      <w:u w:val="single"/>
    </w:rPr>
  </w:style>
  <w:style w:type="paragraph" w:styleId="Header">
    <w:name w:val="header"/>
    <w:basedOn w:val="Normal"/>
    <w:link w:val="HeaderChar"/>
    <w:uiPriority w:val="99"/>
    <w:unhideWhenUsed/>
    <w:rsid w:val="00E43D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3DE6"/>
  </w:style>
  <w:style w:type="paragraph" w:styleId="Footer">
    <w:name w:val="footer"/>
    <w:basedOn w:val="Normal"/>
    <w:link w:val="FooterChar"/>
    <w:uiPriority w:val="99"/>
    <w:unhideWhenUsed/>
    <w:rsid w:val="00E43D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3DE6"/>
  </w:style>
  <w:style w:type="paragraph" w:customStyle="1" w:styleId="Default">
    <w:name w:val="Default"/>
    <w:rsid w:val="00694FFD"/>
    <w:pPr>
      <w:autoSpaceDE w:val="0"/>
      <w:autoSpaceDN w:val="0"/>
      <w:adjustRightInd w:val="0"/>
      <w:spacing w:after="0" w:line="240" w:lineRule="auto"/>
    </w:pPr>
    <w:rPr>
      <w:rFonts w:ascii="Arial" w:hAnsi="Arial" w:cs="Arial"/>
      <w:color w:val="000000"/>
      <w:sz w:val="24"/>
      <w:szCs w:val="24"/>
      <w:lang w:val="nl-NL"/>
    </w:rPr>
  </w:style>
  <w:style w:type="paragraph" w:styleId="Revision">
    <w:name w:val="Revision"/>
    <w:hidden/>
    <w:uiPriority w:val="99"/>
    <w:semiHidden/>
    <w:rsid w:val="005D4E03"/>
    <w:pPr>
      <w:spacing w:after="0" w:line="240" w:lineRule="auto"/>
    </w:pPr>
  </w:style>
  <w:style w:type="character" w:styleId="UnresolvedMention">
    <w:name w:val="Unresolved Mention"/>
    <w:basedOn w:val="DefaultParagraphFont"/>
    <w:uiPriority w:val="99"/>
    <w:semiHidden/>
    <w:unhideWhenUsed/>
    <w:rsid w:val="00F73C35"/>
    <w:rPr>
      <w:color w:val="605E5C"/>
      <w:shd w:val="clear" w:color="auto" w:fill="E1DFDD"/>
    </w:rPr>
  </w:style>
  <w:style w:type="character" w:customStyle="1" w:styleId="normaltextrun">
    <w:name w:val="normaltextrun"/>
    <w:basedOn w:val="DefaultParagraphFont"/>
    <w:rsid w:val="00310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4B363F085DEC4980F15DC2CA5CD8D5" ma:contentTypeVersion="16" ma:contentTypeDescription="Een nieuw document maken." ma:contentTypeScope="" ma:versionID="27d90343c329e598352636a67bc8d2e8">
  <xsd:schema xmlns:xsd="http://www.w3.org/2001/XMLSchema" xmlns:xs="http://www.w3.org/2001/XMLSchema" xmlns:p="http://schemas.microsoft.com/office/2006/metadata/properties" xmlns:ns2="68778035-48df-4120-8038-eecbe49665df" xmlns:ns3="2f0ea742-c765-4bc8-9aa7-95fa3a9716f6" targetNamespace="http://schemas.microsoft.com/office/2006/metadata/properties" ma:root="true" ma:fieldsID="489443ff0224f361310051ea465a3f9f" ns2:_="" ns3:_="">
    <xsd:import namespace="68778035-48df-4120-8038-eecbe49665df"/>
    <xsd:import namespace="2f0ea742-c765-4bc8-9aa7-95fa3a9716f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78035-48df-4120-8038-eecbe4966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cc62b5b5-b3f7-481b-9747-b3ee8a7b8b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0ea742-c765-4bc8-9aa7-95fa3a9716f6"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264c584a-0546-4a7f-9a3a-7366145cf2ae}" ma:internalName="TaxCatchAll" ma:showField="CatchAllData" ma:web="2f0ea742-c765-4bc8-9aa7-95fa3a9716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D701E-961E-4839-8221-3EB1CED48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78035-48df-4120-8038-eecbe49665df"/>
    <ds:schemaRef ds:uri="2f0ea742-c765-4bc8-9aa7-95fa3a971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7F49E8-D7E9-49BD-8A62-84E2A7BA338F}">
  <ds:schemaRefs>
    <ds:schemaRef ds:uri="http://schemas.microsoft.com/sharepoint/v3/contenttype/forms"/>
  </ds:schemaRefs>
</ds:datastoreItem>
</file>

<file path=customXml/itemProps3.xml><?xml version="1.0" encoding="utf-8"?>
<ds:datastoreItem xmlns:ds="http://schemas.openxmlformats.org/officeDocument/2006/customXml" ds:itemID="{93B28165-8832-44D0-A59D-7F10449A7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1186</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Martijn Bos</dc:creator>
  <cp:lastModifiedBy>Martijn Bos</cp:lastModifiedBy>
  <cp:revision>4</cp:revision>
  <cp:lastPrinted>2024-01-17T16:44:00Z</cp:lastPrinted>
  <dcterms:created xsi:type="dcterms:W3CDTF">2024-02-01T20:56:00Z</dcterms:created>
  <dcterms:modified xsi:type="dcterms:W3CDTF">2024-02-02T08:15:00Z</dcterms:modified>
</cp:coreProperties>
</file>