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8D5B69" w14:textId="26E5A56A" w:rsidR="0037577C" w:rsidRPr="00FD6317" w:rsidRDefault="000268AD">
      <w:pPr>
        <w:rPr>
          <w:b/>
          <w:bCs/>
        </w:rPr>
      </w:pPr>
      <w:r w:rsidRPr="00FD6317">
        <w:rPr>
          <w:b/>
          <w:bCs/>
        </w:rPr>
        <w:t>General:</w:t>
      </w:r>
    </w:p>
    <w:p w14:paraId="71D851D8" w14:textId="6D7AA30F" w:rsidR="00695B4D" w:rsidRDefault="00695B4D" w:rsidP="00695B4D">
      <w:r>
        <w:t>The Dut</w:t>
      </w:r>
      <w:r w:rsidR="005B05BD">
        <w:t>ch</w:t>
      </w:r>
      <w:r>
        <w:t xml:space="preserve"> Finance Executive Association (FEA) appreciates the possibility to comment on the draft EFRAG IG 1 Materiality Assessment, reflecting views of nearly 30 sustainability reporting practitioners working at the largest Dutch listed companies. </w:t>
      </w:r>
    </w:p>
    <w:p w14:paraId="12C8C96D" w14:textId="65D006BB" w:rsidR="00695B4D" w:rsidRDefault="00695B4D" w:rsidP="00695B4D">
      <w:r>
        <w:t>We welcome this draft MA IG as it provides guidance for implementation of ESRS provisions regarding such a complex</w:t>
      </w:r>
      <w:r w:rsidR="00B63C39">
        <w:t xml:space="preserve"> and fundamental</w:t>
      </w:r>
      <w:r>
        <w:t xml:space="preserve"> concept of new Double Materiality Assessment. </w:t>
      </w:r>
    </w:p>
    <w:p w14:paraId="1B499B38" w14:textId="0FDC1FC6" w:rsidR="00C33CB0" w:rsidRPr="00AE705E" w:rsidRDefault="00695B4D" w:rsidP="00CD2156">
      <w:r>
        <w:t xml:space="preserve">Some elements included in the guidance are valuable for practitioners, in particular, </w:t>
      </w:r>
      <w:r w:rsidR="00AE20B1">
        <w:t>the</w:t>
      </w:r>
      <w:r>
        <w:t xml:space="preserve"> section 3</w:t>
      </w:r>
      <w:r w:rsidR="008827B4">
        <w:t xml:space="preserve"> “How is the materiality assessment performed?”</w:t>
      </w:r>
      <w:r w:rsidR="00AB0D38">
        <w:t>. H</w:t>
      </w:r>
      <w:r>
        <w:t xml:space="preserve">owever, </w:t>
      </w:r>
      <w:r w:rsidR="00746A28">
        <w:t xml:space="preserve">we </w:t>
      </w:r>
      <w:r w:rsidR="00746A28" w:rsidRPr="00E77740">
        <w:t>consider</w:t>
      </w:r>
      <w:r w:rsidR="00E9209B" w:rsidRPr="00E77740">
        <w:t xml:space="preserve"> </w:t>
      </w:r>
      <w:r w:rsidRPr="00E77740">
        <w:t xml:space="preserve">that especially for companies that are new to </w:t>
      </w:r>
      <w:r w:rsidR="00AB0D38" w:rsidRPr="00E77740">
        <w:t>m</w:t>
      </w:r>
      <w:r w:rsidRPr="00E77740">
        <w:t xml:space="preserve">ateriality </w:t>
      </w:r>
      <w:r w:rsidR="00AB0D38" w:rsidRPr="00E77740">
        <w:t>a</w:t>
      </w:r>
      <w:r w:rsidRPr="00E77740">
        <w:t>ssessments, and Double Materiality Assessments (DMA) in particular, the document is far too complex</w:t>
      </w:r>
      <w:r w:rsidR="00F52CFA" w:rsidRPr="00E77740">
        <w:t xml:space="preserve"> and hard to follow.</w:t>
      </w:r>
      <w:r w:rsidR="00AB0D38" w:rsidRPr="00E77740">
        <w:t xml:space="preserve"> </w:t>
      </w:r>
      <w:r w:rsidRPr="00E77740">
        <w:t xml:space="preserve">Our </w:t>
      </w:r>
      <w:r w:rsidR="001E66BB" w:rsidRPr="00E77740">
        <w:t xml:space="preserve">general </w:t>
      </w:r>
      <w:r w:rsidRPr="00E77740">
        <w:t>recommendation</w:t>
      </w:r>
      <w:r w:rsidRPr="00534DCB">
        <w:t xml:space="preserve"> would be to simplify the MA IG, give a </w:t>
      </w:r>
      <w:r w:rsidR="006E21C5">
        <w:t>straightforward</w:t>
      </w:r>
      <w:r w:rsidRPr="00534DCB">
        <w:t xml:space="preserve"> step-by-step approach (where chapter 3 is a good starting point), </w:t>
      </w:r>
      <w:r w:rsidR="00A368A0">
        <w:t>carving</w:t>
      </w:r>
      <w:r w:rsidRPr="00534DCB">
        <w:t xml:space="preserve"> out very complex and theoretical </w:t>
      </w:r>
      <w:r w:rsidR="00534DCB" w:rsidRPr="00CD2156">
        <w:t>FAQ</w:t>
      </w:r>
      <w:r w:rsidRPr="00534DCB">
        <w:t>s.</w:t>
      </w:r>
    </w:p>
    <w:p w14:paraId="5E85B260" w14:textId="7869FBC8" w:rsidR="00467B93" w:rsidRDefault="006348E1" w:rsidP="00467B93">
      <w:r>
        <w:t>I</w:t>
      </w:r>
      <w:r w:rsidRPr="006348E1">
        <w:t xml:space="preserve">n addition to the above, we provide below some specific </w:t>
      </w:r>
      <w:r w:rsidR="00AE20B1">
        <w:t>suggestions</w:t>
      </w:r>
      <w:r w:rsidRPr="00832D96">
        <w:t xml:space="preserve"> to</w:t>
      </w:r>
      <w:r w:rsidR="00832D96" w:rsidRPr="00832D96">
        <w:t xml:space="preserve"> further improve the MA IG to ensure it is </w:t>
      </w:r>
      <w:r w:rsidR="00EA6E3D">
        <w:t xml:space="preserve">a </w:t>
      </w:r>
      <w:r w:rsidR="00832D96" w:rsidRPr="00832D96">
        <w:t>comprehensive</w:t>
      </w:r>
      <w:r w:rsidR="00EA6E3D">
        <w:t xml:space="preserve">, practicable </w:t>
      </w:r>
      <w:r w:rsidR="00832D96" w:rsidRPr="00832D96">
        <w:t>and useful tool in applying ESRS</w:t>
      </w:r>
      <w:r w:rsidR="005826E4">
        <w:t>:</w:t>
      </w:r>
    </w:p>
    <w:p w14:paraId="65A4F780" w14:textId="49A050B8" w:rsidR="005826E4" w:rsidRDefault="00AE20B1" w:rsidP="005826E4">
      <w:pPr>
        <w:pStyle w:val="ListParagraph"/>
        <w:numPr>
          <w:ilvl w:val="0"/>
          <w:numId w:val="9"/>
        </w:numPr>
      </w:pPr>
      <w:r>
        <w:rPr>
          <w:b/>
          <w:bCs/>
        </w:rPr>
        <w:t>M</w:t>
      </w:r>
      <w:r w:rsidR="005826E4">
        <w:rPr>
          <w:b/>
          <w:bCs/>
        </w:rPr>
        <w:t>ore illustrative examples</w:t>
      </w:r>
      <w:r w:rsidR="005826E4">
        <w:t xml:space="preserve"> would make the guidance easier to follow and apply, in particular for the first-time application.</w:t>
      </w:r>
      <w:r w:rsidR="008B5AE1">
        <w:t xml:space="preserve"> </w:t>
      </w:r>
      <w:r w:rsidR="000C57AE">
        <w:t xml:space="preserve">A more logical flow would be to start with the explanation of the background of DMA, followed by </w:t>
      </w:r>
      <w:r w:rsidR="00620B67">
        <w:t>the DMA process (</w:t>
      </w:r>
      <w:r w:rsidR="0056414B">
        <w:t xml:space="preserve">as </w:t>
      </w:r>
      <w:r w:rsidR="00620B67">
        <w:t>presented in Figure 3)</w:t>
      </w:r>
      <w:r w:rsidR="0019785B">
        <w:t>, with explanations of requirements per each key process step.</w:t>
      </w:r>
      <w:r w:rsidR="00DF508D" w:rsidRPr="00DF508D">
        <w:t xml:space="preserve"> </w:t>
      </w:r>
    </w:p>
    <w:p w14:paraId="1E487F5D" w14:textId="0CC7A88A" w:rsidR="005826E4" w:rsidRDefault="00082E3E" w:rsidP="005826E4">
      <w:pPr>
        <w:pStyle w:val="ListParagraph"/>
        <w:numPr>
          <w:ilvl w:val="0"/>
          <w:numId w:val="9"/>
        </w:numPr>
      </w:pPr>
      <w:r>
        <w:t>More</w:t>
      </w:r>
      <w:r w:rsidR="0019785B">
        <w:t xml:space="preserve"> </w:t>
      </w:r>
      <w:r w:rsidR="00A067CA">
        <w:t xml:space="preserve">focus </w:t>
      </w:r>
      <w:r w:rsidR="006D7D02">
        <w:t xml:space="preserve">and </w:t>
      </w:r>
      <w:r w:rsidR="007D3103" w:rsidRPr="00CD2156">
        <w:rPr>
          <w:b/>
          <w:bCs/>
        </w:rPr>
        <w:t>deep dives</w:t>
      </w:r>
      <w:r w:rsidR="006D7D02" w:rsidRPr="00CD2156">
        <w:rPr>
          <w:b/>
          <w:bCs/>
        </w:rPr>
        <w:t xml:space="preserve"> i</w:t>
      </w:r>
      <w:r w:rsidR="00A067CA" w:rsidRPr="00CD2156">
        <w:rPr>
          <w:b/>
          <w:bCs/>
        </w:rPr>
        <w:t>n the</w:t>
      </w:r>
      <w:r w:rsidR="006D7D02" w:rsidRPr="00CD2156">
        <w:rPr>
          <w:b/>
          <w:bCs/>
        </w:rPr>
        <w:t xml:space="preserve"> critical </w:t>
      </w:r>
      <w:r w:rsidR="00A067CA" w:rsidRPr="00CD2156">
        <w:rPr>
          <w:b/>
          <w:bCs/>
        </w:rPr>
        <w:t xml:space="preserve">building blocks of </w:t>
      </w:r>
      <w:r w:rsidR="00496481" w:rsidRPr="00CD2156">
        <w:rPr>
          <w:b/>
          <w:bCs/>
        </w:rPr>
        <w:t>the DMA</w:t>
      </w:r>
      <w:r w:rsidR="00A067CA">
        <w:t xml:space="preserve"> will</w:t>
      </w:r>
      <w:r w:rsidR="005826E4">
        <w:t xml:space="preserve"> </w:t>
      </w:r>
      <w:r w:rsidR="006D7D02">
        <w:t xml:space="preserve">be helpful, for </w:t>
      </w:r>
      <w:r w:rsidR="007D3103">
        <w:t>instance,</w:t>
      </w:r>
      <w:r w:rsidR="006D7D02">
        <w:t xml:space="preserve"> explanation and examples</w:t>
      </w:r>
      <w:r w:rsidR="005826E4" w:rsidRPr="000912D2">
        <w:rPr>
          <w:b/>
          <w:bCs/>
        </w:rPr>
        <w:t xml:space="preserve"> on the process of stakeholder engagement</w:t>
      </w:r>
      <w:r w:rsidR="005826E4">
        <w:t>, including the coverage, selection of stakeholders for an unbiased assessment, weighting of stakeholders’ input</w:t>
      </w:r>
      <w:r w:rsidR="00480A63">
        <w:t xml:space="preserve">, </w:t>
      </w:r>
      <w:r w:rsidR="005826E4">
        <w:t>potential trade-off in case of conflicting interests</w:t>
      </w:r>
      <w:r w:rsidR="008B5AE1">
        <w:t>,</w:t>
      </w:r>
      <w:r w:rsidR="005826E4">
        <w:t xml:space="preserve"> etc. </w:t>
      </w:r>
    </w:p>
    <w:p w14:paraId="51CD651E" w14:textId="77777777" w:rsidR="00A96F60" w:rsidRPr="00A96F60" w:rsidRDefault="00A96F60" w:rsidP="00A96F60">
      <w:pPr>
        <w:pStyle w:val="ListParagraph"/>
        <w:numPr>
          <w:ilvl w:val="0"/>
          <w:numId w:val="9"/>
        </w:numPr>
      </w:pPr>
      <w:r w:rsidRPr="00A96F60">
        <w:t xml:space="preserve">The guidance does not clarify a fundamental question on how to apply the concept of double materiality, especially with respect to </w:t>
      </w:r>
      <w:r w:rsidRPr="00E6795F">
        <w:rPr>
          <w:b/>
          <w:bCs/>
        </w:rPr>
        <w:t>criteria for aggregating an undertaking’s impacts, risks and opportunities at a global level</w:t>
      </w:r>
      <w:r w:rsidRPr="00A96F60">
        <w:t xml:space="preserve">. As this is a starting process for determining the scope and content of the disclosures, it is critical for companies to understand and apply the process in a consistent way. Further, we would expect more </w:t>
      </w:r>
      <w:r w:rsidRPr="007D5C60">
        <w:rPr>
          <w:b/>
          <w:bCs/>
        </w:rPr>
        <w:t>guidance and examples on consolidation principles in materiality assessment</w:t>
      </w:r>
      <w:r w:rsidRPr="00A96F60">
        <w:t xml:space="preserve"> (for example, for groups with multiple industries).</w:t>
      </w:r>
    </w:p>
    <w:p w14:paraId="0EB80FCF" w14:textId="6A1EA192" w:rsidR="00480A63" w:rsidRPr="00FC0DBF" w:rsidRDefault="00480A63" w:rsidP="00480A63">
      <w:pPr>
        <w:pStyle w:val="ListParagraph"/>
        <w:numPr>
          <w:ilvl w:val="0"/>
          <w:numId w:val="9"/>
        </w:numPr>
      </w:pPr>
      <w:r w:rsidRPr="00FC0DBF">
        <w:t xml:space="preserve">We would appreciate </w:t>
      </w:r>
      <w:r w:rsidRPr="00FC0DBF">
        <w:rPr>
          <w:b/>
          <w:bCs/>
        </w:rPr>
        <w:t>more connection between materiality assessment and value chain guidance</w:t>
      </w:r>
      <w:r w:rsidRPr="00FC0DBF">
        <w:t>, in particular, how far undertakings should go in the value chain when making materiality assessments considering different types of companies.</w:t>
      </w:r>
    </w:p>
    <w:p w14:paraId="1BF60A3B" w14:textId="6FA1E5AC" w:rsidR="004E27BB" w:rsidRDefault="004E27BB" w:rsidP="001E247C">
      <w:pPr>
        <w:pStyle w:val="ListParagraph"/>
        <w:numPr>
          <w:ilvl w:val="0"/>
          <w:numId w:val="6"/>
        </w:numPr>
      </w:pPr>
      <w:r w:rsidRPr="004E27BB">
        <w:t xml:space="preserve">Share </w:t>
      </w:r>
      <w:r w:rsidRPr="004E27BB">
        <w:rPr>
          <w:b/>
          <w:bCs/>
        </w:rPr>
        <w:t>more examples</w:t>
      </w:r>
      <w:r w:rsidRPr="004E27BB">
        <w:t xml:space="preserve"> on how the preparers are expected to </w:t>
      </w:r>
      <w:r w:rsidRPr="004E27BB">
        <w:rPr>
          <w:b/>
          <w:bCs/>
        </w:rPr>
        <w:t>measure uncertain sustainability</w:t>
      </w:r>
      <w:r w:rsidR="00885B60">
        <w:rPr>
          <w:b/>
          <w:bCs/>
        </w:rPr>
        <w:t>-related</w:t>
      </w:r>
      <w:r w:rsidRPr="004E27BB">
        <w:rPr>
          <w:b/>
          <w:bCs/>
        </w:rPr>
        <w:t xml:space="preserve"> financial impacts</w:t>
      </w:r>
      <w:r>
        <w:t>.</w:t>
      </w:r>
    </w:p>
    <w:p w14:paraId="3EAE9656" w14:textId="25CF64E7" w:rsidR="001E247C" w:rsidRDefault="0075400A" w:rsidP="001E247C">
      <w:pPr>
        <w:pStyle w:val="ListParagraph"/>
        <w:numPr>
          <w:ilvl w:val="0"/>
          <w:numId w:val="6"/>
        </w:numPr>
      </w:pPr>
      <w:r w:rsidRPr="00CD2156">
        <w:rPr>
          <w:b/>
          <w:bCs/>
        </w:rPr>
        <w:t>Update of the D</w:t>
      </w:r>
      <w:r w:rsidR="00D2382C">
        <w:rPr>
          <w:b/>
          <w:bCs/>
        </w:rPr>
        <w:t xml:space="preserve">MA </w:t>
      </w:r>
      <w:r w:rsidR="00B8312D">
        <w:rPr>
          <w:b/>
          <w:bCs/>
        </w:rPr>
        <w:t>–</w:t>
      </w:r>
      <w:r w:rsidR="00D2382C">
        <w:rPr>
          <w:b/>
          <w:bCs/>
        </w:rPr>
        <w:t xml:space="preserve"> </w:t>
      </w:r>
      <w:r>
        <w:t xml:space="preserve">we would expect from the document </w:t>
      </w:r>
      <w:r w:rsidR="00B729C1">
        <w:t xml:space="preserve">more clarifications on </w:t>
      </w:r>
      <w:r>
        <w:t xml:space="preserve">how the materiality assessment needs to be updated, </w:t>
      </w:r>
      <w:r w:rsidR="00D7233B">
        <w:t>frequency</w:t>
      </w:r>
      <w:r w:rsidR="00D2382C">
        <w:t xml:space="preserve"> and depth of revision</w:t>
      </w:r>
      <w:r w:rsidR="00D7233B">
        <w:t xml:space="preserve"> and conditions leading to an update</w:t>
      </w:r>
      <w:r w:rsidR="007C7C30">
        <w:t>, which FAQ does not provide</w:t>
      </w:r>
      <w:r w:rsidR="00D7233B">
        <w:t xml:space="preserve">. </w:t>
      </w:r>
    </w:p>
    <w:p w14:paraId="09D14E53" w14:textId="08DE3F06" w:rsidR="00DA39EE" w:rsidRDefault="001C1601" w:rsidP="00943CDE">
      <w:pPr>
        <w:pStyle w:val="ListParagraph"/>
        <w:numPr>
          <w:ilvl w:val="0"/>
          <w:numId w:val="6"/>
        </w:numPr>
      </w:pPr>
      <w:r w:rsidRPr="001C1601">
        <w:t xml:space="preserve">There is no clear guidance </w:t>
      </w:r>
      <w:r w:rsidRPr="001C1601">
        <w:rPr>
          <w:b/>
          <w:bCs/>
        </w:rPr>
        <w:t>on what evidence is required</w:t>
      </w:r>
      <w:r>
        <w:t xml:space="preserve"> to substantiate the materiality assessment</w:t>
      </w:r>
      <w:r w:rsidRPr="001C1601">
        <w:t xml:space="preserve">. </w:t>
      </w:r>
      <w:r w:rsidR="00B8312D">
        <w:t>That would be helpful for bot</w:t>
      </w:r>
      <w:r w:rsidR="00FB35E4">
        <w:t xml:space="preserve">h reporters and assurance providers. </w:t>
      </w:r>
      <w:r w:rsidR="00BC0F84">
        <w:t xml:space="preserve">Focus on </w:t>
      </w:r>
      <w:r w:rsidR="00FB35E4">
        <w:t>the</w:t>
      </w:r>
      <w:r w:rsidR="00FB35E4" w:rsidRPr="00CD2156">
        <w:rPr>
          <w:b/>
          <w:bCs/>
        </w:rPr>
        <w:t xml:space="preserve"> undertaking’s strategy</w:t>
      </w:r>
      <w:r w:rsidR="00FB35E4">
        <w:t xml:space="preserve"> and </w:t>
      </w:r>
      <w:r w:rsidR="00BC0F84" w:rsidRPr="00CD2156">
        <w:rPr>
          <w:b/>
          <w:bCs/>
        </w:rPr>
        <w:t>substance over form</w:t>
      </w:r>
      <w:r w:rsidR="00BC0F84">
        <w:t xml:space="preserve"> </w:t>
      </w:r>
      <w:r w:rsidR="00161C54">
        <w:t>should remain a priority</w:t>
      </w:r>
      <w:r w:rsidR="00BC0F84">
        <w:t>, not making DMA audit a checkbox exercise.</w:t>
      </w:r>
      <w:r w:rsidR="008B5AE1">
        <w:t xml:space="preserve"> We already </w:t>
      </w:r>
      <w:r w:rsidR="00414501">
        <w:t>notice that auditors lean to a more formalistic approach to</w:t>
      </w:r>
      <w:r w:rsidR="008B5AE1">
        <w:t xml:space="preserve"> the DMA documentation</w:t>
      </w:r>
      <w:r w:rsidR="000F2EB8">
        <w:t xml:space="preserve">, which </w:t>
      </w:r>
      <w:r w:rsidR="00514DCD">
        <w:t xml:space="preserve">is likely to </w:t>
      </w:r>
      <w:r w:rsidR="007D6844">
        <w:t>undermin</w:t>
      </w:r>
      <w:r w:rsidR="00514DCD">
        <w:t>e</w:t>
      </w:r>
      <w:r w:rsidR="000F2EB8">
        <w:t xml:space="preserve"> the </w:t>
      </w:r>
      <w:r w:rsidR="005473ED">
        <w:t>main purpose</w:t>
      </w:r>
      <w:r w:rsidR="0037027B">
        <w:t xml:space="preserve"> of the assessment</w:t>
      </w:r>
      <w:r w:rsidR="0052334E">
        <w:t>.</w:t>
      </w:r>
    </w:p>
    <w:p w14:paraId="13902DDB" w14:textId="4A73CA5E" w:rsidR="00AD05D1" w:rsidRDefault="00AD05D1" w:rsidP="00943CDE">
      <w:pPr>
        <w:pStyle w:val="ListParagraph"/>
        <w:numPr>
          <w:ilvl w:val="0"/>
          <w:numId w:val="6"/>
        </w:numPr>
      </w:pPr>
      <w:r w:rsidRPr="00AD05D1">
        <w:lastRenderedPageBreak/>
        <w:t xml:space="preserve">The guidance does not provide sufficient implementation </w:t>
      </w:r>
      <w:r>
        <w:t>advice</w:t>
      </w:r>
      <w:r w:rsidRPr="00AD05D1">
        <w:t xml:space="preserve"> and examples on ESRS 1 paragraph 31 to understand how we should substantiate when and where a specific </w:t>
      </w:r>
      <w:r w:rsidRPr="00AD05D1">
        <w:rPr>
          <w:b/>
          <w:bCs/>
        </w:rPr>
        <w:t>Disclosure Requirement can be omitted as assessed not material</w:t>
      </w:r>
      <w:r w:rsidRPr="00AD05D1">
        <w:t>.</w:t>
      </w:r>
    </w:p>
    <w:p w14:paraId="0C8FF3CE" w14:textId="3F008C6D" w:rsidR="00534DCB" w:rsidRDefault="007E1D39" w:rsidP="00943CDE">
      <w:pPr>
        <w:pStyle w:val="ListParagraph"/>
        <w:numPr>
          <w:ilvl w:val="0"/>
          <w:numId w:val="6"/>
        </w:numPr>
      </w:pPr>
      <w:r>
        <w:t>Further, w</w:t>
      </w:r>
      <w:r w:rsidR="000A4965">
        <w:t xml:space="preserve">e </w:t>
      </w:r>
      <w:r w:rsidR="001A590A">
        <w:t>urge</w:t>
      </w:r>
      <w:r w:rsidR="00483827">
        <w:t xml:space="preserve"> EFRAG to consult the</w:t>
      </w:r>
      <w:r w:rsidR="00534DCB" w:rsidRPr="00CD2156">
        <w:rPr>
          <w:b/>
          <w:bCs/>
        </w:rPr>
        <w:t xml:space="preserve"> International Sustainability Standards Board</w:t>
      </w:r>
      <w:r w:rsidR="00534DCB" w:rsidRPr="00AE705E">
        <w:t xml:space="preserve"> (ISSB) and the </w:t>
      </w:r>
      <w:r w:rsidR="00534DCB" w:rsidRPr="00CD2156">
        <w:rPr>
          <w:b/>
          <w:bCs/>
        </w:rPr>
        <w:t>Global Reporting Initiative</w:t>
      </w:r>
      <w:r w:rsidR="00534DCB" w:rsidRPr="00AE705E">
        <w:t xml:space="preserve"> (GRI) when developing the </w:t>
      </w:r>
      <w:r w:rsidR="00E54923">
        <w:t>final implementation guidance.</w:t>
      </w:r>
      <w:r w:rsidR="000A4965">
        <w:br/>
      </w:r>
    </w:p>
    <w:p w14:paraId="51A6464A" w14:textId="2AD84EA4" w:rsidR="004A718B" w:rsidRDefault="004A718B" w:rsidP="00CD2156">
      <w:r>
        <w:t>We recognise that the guidance is non-authoritative and is limited to providing clarifications and examples to the ESRS. However, as practitioners, we anticipate that the non-authoritative guidance has a high chance to become unofficially binding as a common practice, by being the main reference point for new practitioners, users</w:t>
      </w:r>
      <w:r w:rsidR="008B5AE1">
        <w:t>,</w:t>
      </w:r>
      <w:r>
        <w:t xml:space="preserve"> and assurance providers. Therefore, all its provisions should be considered to have equal impact on reporting quality as any authoritative guidance.</w:t>
      </w:r>
    </w:p>
    <w:p w14:paraId="7DA3C819" w14:textId="796E1C83" w:rsidR="004A718B" w:rsidRDefault="00252B2E" w:rsidP="004A718B">
      <w:r w:rsidRPr="00E54923">
        <w:t xml:space="preserve">On a general note, FEA members </w:t>
      </w:r>
      <w:r w:rsidR="008B7A33">
        <w:t>expressed</w:t>
      </w:r>
      <w:r w:rsidRPr="00E54923">
        <w:t xml:space="preserve"> the need for more robust due process in the development of ESRS standards and guidance</w:t>
      </w:r>
      <w:r w:rsidR="008B7A33">
        <w:t xml:space="preserve"> documentation</w:t>
      </w:r>
      <w:r w:rsidRPr="00E54923">
        <w:t>. To deliver quality sustainability reporting,</w:t>
      </w:r>
      <w:r w:rsidRPr="00E54923">
        <w:rPr>
          <w:b/>
          <w:bCs/>
        </w:rPr>
        <w:t xml:space="preserve"> </w:t>
      </w:r>
      <w:r w:rsidRPr="00E54923">
        <w:t>further time for implementation and meaningful consultation is necessary. In the case of MAIG and VCIG the public consultation period was short and coincided with the year-end closing process, where we as practitioners could not dedicate</w:t>
      </w:r>
      <w:r w:rsidR="008B7A33">
        <w:t xml:space="preserve"> all the time</w:t>
      </w:r>
      <w:r w:rsidRPr="00E54923">
        <w:t xml:space="preserve"> to the review such complex topics require.</w:t>
      </w:r>
    </w:p>
    <w:p w14:paraId="3E73FA20" w14:textId="09810C64" w:rsidR="000268AD" w:rsidRPr="003B0E40" w:rsidRDefault="003B0E40" w:rsidP="000268AD">
      <w:r>
        <w:t xml:space="preserve">FEA ESG reporting practitioners </w:t>
      </w:r>
      <w:r w:rsidR="00A9626C" w:rsidRPr="003B0E40">
        <w:t xml:space="preserve">remain at your disposal for </w:t>
      </w:r>
      <w:r w:rsidRPr="003B0E40">
        <w:t>any further inputs</w:t>
      </w:r>
      <w:r>
        <w:t xml:space="preserve"> or clarifications.</w:t>
      </w:r>
    </w:p>
    <w:p w14:paraId="0FAAC399" w14:textId="77777777" w:rsidR="003B0E40" w:rsidRDefault="003B0E40" w:rsidP="000268AD">
      <w:pPr>
        <w:rPr>
          <w:b/>
          <w:bCs/>
        </w:rPr>
      </w:pPr>
    </w:p>
    <w:p w14:paraId="7098E310" w14:textId="34C0C8AC" w:rsidR="000A4965" w:rsidRDefault="000A4965" w:rsidP="000268AD">
      <w:pPr>
        <w:rPr>
          <w:b/>
          <w:bCs/>
        </w:rPr>
      </w:pPr>
      <w:r>
        <w:rPr>
          <w:b/>
          <w:bCs/>
        </w:rPr>
        <w:t>Detailed comments</w:t>
      </w:r>
    </w:p>
    <w:p w14:paraId="2137D9DA" w14:textId="40A5412D" w:rsidR="00D30D7D" w:rsidRDefault="00D35EF5" w:rsidP="0022405B">
      <w:pPr>
        <w:pStyle w:val="ListParagraph"/>
        <w:numPr>
          <w:ilvl w:val="0"/>
          <w:numId w:val="6"/>
        </w:numPr>
      </w:pPr>
      <w:r w:rsidRPr="00D30D7D">
        <w:rPr>
          <w:b/>
          <w:bCs/>
        </w:rPr>
        <w:t>Entity-specific disclosures</w:t>
      </w:r>
      <w:r w:rsidR="00A25903" w:rsidRPr="00D30D7D">
        <w:rPr>
          <w:b/>
          <w:bCs/>
        </w:rPr>
        <w:t>:</w:t>
      </w:r>
      <w:r>
        <w:t xml:space="preserve"> </w:t>
      </w:r>
      <w:r w:rsidRPr="00D30D7D">
        <w:rPr>
          <w:b/>
          <w:bCs/>
        </w:rPr>
        <w:t>Summary in 13 points</w:t>
      </w:r>
      <w:r>
        <w:t xml:space="preserve"> currently s</w:t>
      </w:r>
      <w:r w:rsidR="00A25903">
        <w:t>tates</w:t>
      </w:r>
      <w:r>
        <w:t xml:space="preserve"> that undertakings </w:t>
      </w:r>
      <w:r w:rsidRPr="00C50039">
        <w:t xml:space="preserve">shall </w:t>
      </w:r>
      <w:r>
        <w:t xml:space="preserve">report on </w:t>
      </w:r>
      <w:r w:rsidR="00A25903">
        <w:t xml:space="preserve">entity-specific </w:t>
      </w:r>
      <w:r w:rsidR="00B71A44">
        <w:t>matters identified in the DMA process</w:t>
      </w:r>
      <w:r>
        <w:t xml:space="preserve"> </w:t>
      </w:r>
      <w:r w:rsidR="00D30D7D" w:rsidRPr="00D30D7D">
        <w:t>but does not provide practical guidance on what they should be</w:t>
      </w:r>
      <w:r w:rsidR="00B54B3A">
        <w:t xml:space="preserve"> and how they should be treated</w:t>
      </w:r>
      <w:r w:rsidR="00D30D7D" w:rsidRPr="00D30D7D">
        <w:t>. As we currently focus on the available topical standards, the guidance should clarify further what disclosure are expected</w:t>
      </w:r>
      <w:r w:rsidR="00B54B3A">
        <w:t>.</w:t>
      </w:r>
    </w:p>
    <w:p w14:paraId="293ACF75" w14:textId="4722E855" w:rsidR="007626B5" w:rsidRDefault="007626B5" w:rsidP="0022405B">
      <w:pPr>
        <w:pStyle w:val="ListParagraph"/>
        <w:numPr>
          <w:ilvl w:val="0"/>
          <w:numId w:val="6"/>
        </w:numPr>
      </w:pPr>
      <w:r w:rsidRPr="00D30D7D">
        <w:rPr>
          <w:b/>
          <w:bCs/>
          <w:i/>
          <w:iCs/>
        </w:rPr>
        <w:t xml:space="preserve">Paragraph 1. </w:t>
      </w:r>
      <w:r>
        <w:t>The guidance is inconsistent in the approach of performing a Double Materiality Assessment: it should start with identifying the sustainability matters or IROs, and it should be clear that the outcome of the Double materiality process is the identification of both the sustainability matters and the IROs.</w:t>
      </w:r>
    </w:p>
    <w:p w14:paraId="50359604" w14:textId="77777777" w:rsidR="007626B5" w:rsidRDefault="007626B5" w:rsidP="007626B5">
      <w:pPr>
        <w:pStyle w:val="ListParagraph"/>
        <w:numPr>
          <w:ilvl w:val="1"/>
          <w:numId w:val="6"/>
        </w:numPr>
      </w:pPr>
      <w:r>
        <w:t>In paragraph 1 it is mentioned that the undertaking should disclose the IROs and material sustainability matters.</w:t>
      </w:r>
    </w:p>
    <w:p w14:paraId="32C9017A" w14:textId="77777777" w:rsidR="007626B5" w:rsidRDefault="007626B5" w:rsidP="007626B5">
      <w:pPr>
        <w:pStyle w:val="ListParagraph"/>
        <w:numPr>
          <w:ilvl w:val="1"/>
          <w:numId w:val="6"/>
        </w:numPr>
      </w:pPr>
      <w:r>
        <w:t>In paragraph 13 it is mentioned that the undertaking should disclose the IROs, and the identification / disclosure of sustainability matters is not mentioned.</w:t>
      </w:r>
    </w:p>
    <w:p w14:paraId="644A7FFB" w14:textId="77777777" w:rsidR="007626B5" w:rsidRDefault="007626B5" w:rsidP="007626B5">
      <w:pPr>
        <w:pStyle w:val="ListParagraph"/>
        <w:numPr>
          <w:ilvl w:val="1"/>
          <w:numId w:val="6"/>
        </w:numPr>
      </w:pPr>
      <w:r>
        <w:t>In paragraph 95 it is mentioned that the undertaking should start with identifying the sustainability matters and should derive the IROs from there.</w:t>
      </w:r>
    </w:p>
    <w:p w14:paraId="7217406A" w14:textId="77777777" w:rsidR="001110BB" w:rsidRPr="00E5375D" w:rsidRDefault="001110BB" w:rsidP="001110BB">
      <w:pPr>
        <w:pStyle w:val="ListParagraph"/>
        <w:numPr>
          <w:ilvl w:val="0"/>
          <w:numId w:val="6"/>
        </w:numPr>
      </w:pPr>
      <w:r w:rsidRPr="00CA5E9E">
        <w:rPr>
          <w:b/>
          <w:bCs/>
        </w:rPr>
        <w:t>Paragraph 90.</w:t>
      </w:r>
      <w:r>
        <w:t xml:space="preserve"> </w:t>
      </w:r>
      <w:r w:rsidRPr="00280431">
        <w:t xml:space="preserve">It may be useful to explain how </w:t>
      </w:r>
      <w:r w:rsidRPr="00280431">
        <w:rPr>
          <w:b/>
          <w:bCs/>
        </w:rPr>
        <w:t xml:space="preserve">the result of risk management process can be </w:t>
      </w:r>
      <w:r w:rsidRPr="00E5375D">
        <w:rPr>
          <w:b/>
          <w:bCs/>
        </w:rPr>
        <w:t>integrated in the DMA process</w:t>
      </w:r>
      <w:r w:rsidRPr="00E5375D">
        <w:t>. We see integration of the two processes as a positive synergy.</w:t>
      </w:r>
    </w:p>
    <w:p w14:paraId="2BE45FA9" w14:textId="5A2B7803" w:rsidR="00E5375D" w:rsidRPr="00E5375D" w:rsidRDefault="00E5375D" w:rsidP="00E5375D">
      <w:pPr>
        <w:pStyle w:val="ListParagraph"/>
        <w:numPr>
          <w:ilvl w:val="0"/>
          <w:numId w:val="6"/>
        </w:numPr>
      </w:pPr>
      <w:r w:rsidRPr="00E5375D">
        <w:rPr>
          <w:b/>
          <w:bCs/>
        </w:rPr>
        <w:t>Chapter 3.6</w:t>
      </w:r>
      <w:r w:rsidRPr="00E5375D">
        <w:t xml:space="preserve"> </w:t>
      </w:r>
      <w:r w:rsidR="00D35EF5" w:rsidRPr="00E5375D">
        <w:rPr>
          <w:b/>
          <w:bCs/>
        </w:rPr>
        <w:t>Deep dive on impact materiality: Setting thresholds</w:t>
      </w:r>
      <w:r w:rsidR="00D35EF5" w:rsidRPr="00E5375D">
        <w:t>. The chapter includes additional insights into i</w:t>
      </w:r>
      <w:r w:rsidR="00D35EF5" w:rsidRPr="00280431">
        <w:t xml:space="preserve">mpact characteristics, but does not clarify use of thresholds, </w:t>
      </w:r>
      <w:r w:rsidR="008B5AE1" w:rsidRPr="00280431">
        <w:t>n</w:t>
      </w:r>
      <w:r w:rsidR="00D35EF5" w:rsidRPr="00280431">
        <w:t>or include</w:t>
      </w:r>
      <w:r w:rsidR="00280431">
        <w:t>s</w:t>
      </w:r>
      <w:r w:rsidR="00D35EF5" w:rsidRPr="00280431">
        <w:t xml:space="preserve"> any reference on how those can be set.</w:t>
      </w:r>
      <w:r w:rsidR="00C50039" w:rsidRPr="00280431">
        <w:t xml:space="preserve"> </w:t>
      </w:r>
      <w:r w:rsidR="006542B8" w:rsidRPr="00280431">
        <w:rPr>
          <w:b/>
          <w:bCs/>
        </w:rPr>
        <w:t xml:space="preserve">Chapter 3.6, paragraph 113. </w:t>
      </w:r>
      <w:r w:rsidR="00D35EF5" w:rsidRPr="00280431">
        <w:t xml:space="preserve">More explanations and examples on scale, scope, irremediable character, time horizons, more </w:t>
      </w:r>
      <w:r w:rsidR="00D35EF5" w:rsidRPr="00280431">
        <w:lastRenderedPageBreak/>
        <w:t>clarity/examples on positive impacts would help readers, being one of the key elements in the assessment.</w:t>
      </w:r>
      <w:r w:rsidR="009868BF" w:rsidRPr="00280431">
        <w:t xml:space="preserve"> </w:t>
      </w:r>
      <w:r w:rsidRPr="00E5375D">
        <w:t>Examples can be collected from the practitioners.</w:t>
      </w:r>
    </w:p>
    <w:p w14:paraId="31708A3E" w14:textId="64C837B4" w:rsidR="00723E45" w:rsidRPr="00723E45" w:rsidRDefault="00723E45" w:rsidP="006B4536">
      <w:pPr>
        <w:pStyle w:val="ListParagraph"/>
        <w:numPr>
          <w:ilvl w:val="0"/>
          <w:numId w:val="6"/>
        </w:numPr>
      </w:pPr>
      <w:r w:rsidRPr="00723E45">
        <w:rPr>
          <w:b/>
          <w:bCs/>
        </w:rPr>
        <w:t>Figure 1b and 1c</w:t>
      </w:r>
      <w:r w:rsidR="00FE7250">
        <w:rPr>
          <w:b/>
          <w:bCs/>
        </w:rPr>
        <w:t xml:space="preserve">. </w:t>
      </w:r>
      <w:r w:rsidR="00FE7250" w:rsidRPr="00FE7250">
        <w:t>The overall idea of a visual presentation is helpful; however, t</w:t>
      </w:r>
      <w:r w:rsidRPr="00FE7250">
        <w:t>he impact and financial materiality flows are unclear as well as the flows of decisions. Those should be re-worked.</w:t>
      </w:r>
    </w:p>
    <w:p w14:paraId="73F4E0A4" w14:textId="1C36DC29" w:rsidR="002E54B2" w:rsidRDefault="00FE7250" w:rsidP="00196B02">
      <w:pPr>
        <w:pStyle w:val="ListParagraph"/>
        <w:numPr>
          <w:ilvl w:val="0"/>
          <w:numId w:val="6"/>
        </w:numPr>
      </w:pPr>
      <w:r w:rsidRPr="00FE7250">
        <w:t>Some paragraphs are written in a very complex language.</w:t>
      </w:r>
      <w:r w:rsidR="002E54B2" w:rsidRPr="00FE7250">
        <w:t xml:space="preserve"> </w:t>
      </w:r>
      <w:r w:rsidR="00F2354A" w:rsidRPr="00FE7250">
        <w:t>For</w:t>
      </w:r>
      <w:r w:rsidR="00F2354A">
        <w:t xml:space="preserve"> example,</w:t>
      </w:r>
      <w:r w:rsidR="002E54B2">
        <w:t xml:space="preserve"> </w:t>
      </w:r>
      <w:r w:rsidR="000E03BC">
        <w:t xml:space="preserve">the message included in </w:t>
      </w:r>
      <w:r w:rsidR="002E54B2" w:rsidRPr="00700389">
        <w:rPr>
          <w:b/>
          <w:bCs/>
        </w:rPr>
        <w:t>paragraph 36 (c)</w:t>
      </w:r>
      <w:r w:rsidR="00052096">
        <w:t xml:space="preserve"> is not clear and does not appear to be </w:t>
      </w:r>
      <w:r w:rsidR="00E02EED">
        <w:t>value-</w:t>
      </w:r>
      <w:r w:rsidR="00052096">
        <w:t>adding</w:t>
      </w:r>
      <w:r w:rsidR="00E02EED">
        <w:t>.</w:t>
      </w:r>
    </w:p>
    <w:p w14:paraId="786F0F4A" w14:textId="77777777" w:rsidR="009B736F" w:rsidRDefault="009B736F" w:rsidP="009B736F">
      <w:pPr>
        <w:pStyle w:val="ListParagraph"/>
        <w:numPr>
          <w:ilvl w:val="0"/>
          <w:numId w:val="6"/>
        </w:numPr>
      </w:pPr>
      <w:r>
        <w:t xml:space="preserve">A few typos across the document need to be corrected. Green text box with </w:t>
      </w:r>
      <w:r w:rsidRPr="00544007">
        <w:rPr>
          <w:b/>
          <w:bCs/>
        </w:rPr>
        <w:t>paragraph 37</w:t>
      </w:r>
      <w:r>
        <w:t xml:space="preserve"> – </w:t>
      </w:r>
      <w:r w:rsidRPr="00544007">
        <w:rPr>
          <w:b/>
          <w:bCs/>
        </w:rPr>
        <w:t>typo</w:t>
      </w:r>
      <w:r>
        <w:t xml:space="preserve"> in 2</w:t>
      </w:r>
      <w:r w:rsidRPr="00544007">
        <w:rPr>
          <w:vertAlign w:val="superscript"/>
        </w:rPr>
        <w:t>nd</w:t>
      </w:r>
      <w:r>
        <w:t xml:space="preserve"> Alinea – “Most of the materials also give rise …”. We think materials should be material topics.</w:t>
      </w:r>
    </w:p>
    <w:p w14:paraId="206D9212" w14:textId="54113089" w:rsidR="002E54B2" w:rsidRDefault="002E54B2" w:rsidP="00196B02">
      <w:pPr>
        <w:pStyle w:val="ListParagraph"/>
        <w:numPr>
          <w:ilvl w:val="0"/>
          <w:numId w:val="6"/>
        </w:numPr>
      </w:pPr>
      <w:r>
        <w:t xml:space="preserve">Typo in </w:t>
      </w:r>
      <w:r w:rsidRPr="00700389">
        <w:rPr>
          <w:b/>
          <w:bCs/>
        </w:rPr>
        <w:t xml:space="preserve">paragraph 63 </w:t>
      </w:r>
      <w:r>
        <w:t>– last sentence “.. and from the way they th</w:t>
      </w:r>
      <w:r w:rsidR="009B736F">
        <w:t>o</w:t>
      </w:r>
      <w:r>
        <w:t>se risks .. “, we think they should be removed.</w:t>
      </w:r>
    </w:p>
    <w:p w14:paraId="183A4B1E" w14:textId="46CD025D" w:rsidR="00196B02" w:rsidRPr="00D63B9F" w:rsidRDefault="00196B02" w:rsidP="00196B02">
      <w:pPr>
        <w:pStyle w:val="ListParagraph"/>
        <w:numPr>
          <w:ilvl w:val="0"/>
          <w:numId w:val="6"/>
        </w:numPr>
      </w:pPr>
      <w:r w:rsidRPr="00CD2156">
        <w:rPr>
          <w:b/>
          <w:bCs/>
        </w:rPr>
        <w:t>Consistency of FAQ responses</w:t>
      </w:r>
      <w:r>
        <w:t xml:space="preserve">: </w:t>
      </w:r>
      <w:r w:rsidR="00807A00">
        <w:t>FAQ responses do not alw</w:t>
      </w:r>
      <w:r w:rsidR="001D0E39">
        <w:t>ays</w:t>
      </w:r>
      <w:r w:rsidR="00807A00" w:rsidRPr="00807A00">
        <w:t xml:space="preserve"> address the question in a clear and actionable manner </w:t>
      </w:r>
      <w:r>
        <w:t>(e.g.</w:t>
      </w:r>
      <w:r w:rsidR="00D63B9F">
        <w:t>,</w:t>
      </w:r>
      <w:r>
        <w:t xml:space="preserve"> FAQ 20).</w:t>
      </w:r>
      <w:r w:rsidR="00D63B9F">
        <w:t xml:space="preserve"> F</w:t>
      </w:r>
      <w:r w:rsidR="00D63B9F" w:rsidRPr="00D63B9F">
        <w:t>or example</w:t>
      </w:r>
      <w:r w:rsidR="00D63B9F">
        <w:t>,</w:t>
      </w:r>
      <w:r w:rsidR="00D63B9F" w:rsidRPr="00D63B9F">
        <w:t xml:space="preserve"> the response of FAQ 20 “do the ESRS require disclosure of the severity for material impact and likelihood and magnitude for material risks and opportunities” is that “an appropriate explanation of criteria and thresholds used shall be included “. This is too vague and not helpful</w:t>
      </w:r>
      <w:r w:rsidR="00D63B9F">
        <w:t>.</w:t>
      </w:r>
    </w:p>
    <w:p w14:paraId="4147A558" w14:textId="4D35FB35" w:rsidR="00A24258" w:rsidRPr="00700389" w:rsidRDefault="00A24258" w:rsidP="00205FE0">
      <w:pPr>
        <w:pStyle w:val="ListParagraph"/>
        <w:numPr>
          <w:ilvl w:val="0"/>
          <w:numId w:val="6"/>
        </w:numPr>
        <w:rPr>
          <w:lang w:val="en-US"/>
        </w:rPr>
      </w:pPr>
      <w:r w:rsidRPr="00700389">
        <w:rPr>
          <w:b/>
          <w:bCs/>
          <w:lang w:val="en-US"/>
        </w:rPr>
        <w:t>FAQ 2 (paragraph 152 (a))</w:t>
      </w:r>
      <w:r w:rsidRPr="00700389">
        <w:rPr>
          <w:lang w:val="en-US"/>
        </w:rPr>
        <w:t xml:space="preserve"> – “This contradicts ESRS 1 paragraph 56“. We th</w:t>
      </w:r>
      <w:r>
        <w:rPr>
          <w:lang w:val="en-US"/>
        </w:rPr>
        <w:t xml:space="preserve">ink the author tried to </w:t>
      </w:r>
      <w:r w:rsidR="00E1029B">
        <w:rPr>
          <w:lang w:val="en-US"/>
        </w:rPr>
        <w:t>say,</w:t>
      </w:r>
      <w:r w:rsidR="00B12505">
        <w:rPr>
          <w:lang w:val="en-US"/>
        </w:rPr>
        <w:t xml:space="preserve"> “</w:t>
      </w:r>
      <w:r>
        <w:rPr>
          <w:lang w:val="en-US"/>
        </w:rPr>
        <w:t>This is in line with .</w:t>
      </w:r>
      <w:r w:rsidR="00B12505">
        <w:rPr>
          <w:lang w:val="en-US"/>
        </w:rPr>
        <w:t>.</w:t>
      </w:r>
      <w:r>
        <w:rPr>
          <w:lang w:val="en-US"/>
        </w:rPr>
        <w:t>.</w:t>
      </w:r>
      <w:r w:rsidR="00E1029B">
        <w:rPr>
          <w:lang w:val="en-US"/>
        </w:rPr>
        <w:t>.”</w:t>
      </w:r>
    </w:p>
    <w:p w14:paraId="432DF0B5" w14:textId="4322D26F" w:rsidR="00A24258" w:rsidRPr="00700389" w:rsidRDefault="00A24258" w:rsidP="00205FE0">
      <w:pPr>
        <w:pStyle w:val="ListParagraph"/>
        <w:numPr>
          <w:ilvl w:val="0"/>
          <w:numId w:val="6"/>
        </w:numPr>
      </w:pPr>
      <w:r w:rsidRPr="00700389">
        <w:rPr>
          <w:b/>
          <w:bCs/>
        </w:rPr>
        <w:t>FAQ 12 (paragraph 176)</w:t>
      </w:r>
      <w:r>
        <w:t xml:space="preserve"> – </w:t>
      </w:r>
      <w:r w:rsidR="006D4A8D">
        <w:t xml:space="preserve">It would be useful </w:t>
      </w:r>
      <w:r>
        <w:t xml:space="preserve">to expand on </w:t>
      </w:r>
      <w:r w:rsidR="000E62C2">
        <w:t>the topic of evidence and documentation</w:t>
      </w:r>
      <w:r>
        <w:t xml:space="preserve">. </w:t>
      </w:r>
      <w:r w:rsidR="000E62C2">
        <w:t>Practitioners have</w:t>
      </w:r>
      <w:r>
        <w:t xml:space="preserve"> already seen very significant documentation requests from auditors, and we need to be careful that we do not get lost at the first stage of the reporting journey. We fear for a “form over substance” situation, where auditors just want to check a (very long) list of requirements. </w:t>
      </w:r>
    </w:p>
    <w:p w14:paraId="63168EC6" w14:textId="38E542CC" w:rsidR="00205FE0" w:rsidRDefault="00205FE0" w:rsidP="00205FE0">
      <w:pPr>
        <w:pStyle w:val="ListParagraph"/>
        <w:numPr>
          <w:ilvl w:val="0"/>
          <w:numId w:val="6"/>
        </w:numPr>
      </w:pPr>
      <w:r w:rsidRPr="00CD2156">
        <w:rPr>
          <w:b/>
          <w:bCs/>
        </w:rPr>
        <w:t>FAQ 18 (section 5.5).</w:t>
      </w:r>
      <w:r>
        <w:t xml:space="preserve"> An example given on paragraph </w:t>
      </w:r>
      <w:r w:rsidR="009064AA">
        <w:t>197</w:t>
      </w:r>
      <w:r>
        <w:t xml:space="preserve"> bullet 3 might be </w:t>
      </w:r>
      <w:r w:rsidR="0026169D">
        <w:t>misinterpreted</w:t>
      </w:r>
      <w:r>
        <w:t xml:space="preserve">: the example </w:t>
      </w:r>
      <w:r w:rsidR="009B72CA">
        <w:t xml:space="preserve">of a material matter </w:t>
      </w:r>
      <w:r>
        <w:t xml:space="preserve">uses garment manufacturing industry and indicates that in one country a subsidiary pays under fair wage. The latter is not a trigger for materiality, </w:t>
      </w:r>
      <w:r w:rsidR="009B72CA">
        <w:t>the materiality trigger</w:t>
      </w:r>
      <w:r>
        <w:t xml:space="preserve"> </w:t>
      </w:r>
      <w:r w:rsidR="00A0441C">
        <w:t xml:space="preserve">should </w:t>
      </w:r>
      <w:r w:rsidR="009B72CA">
        <w:t xml:space="preserve">occur </w:t>
      </w:r>
      <w:r>
        <w:t>before</w:t>
      </w:r>
      <w:r w:rsidR="00A0441C">
        <w:t xml:space="preserve"> - </w:t>
      </w:r>
      <w:r w:rsidR="009B72CA">
        <w:t xml:space="preserve">already with </w:t>
      </w:r>
      <w:r>
        <w:t>a fact that the undertaking is engaged in a vulnerable industry and in vulnerable countries. The fact of non-compliance is an issue to be reported</w:t>
      </w:r>
      <w:r w:rsidR="0026169D">
        <w:t xml:space="preserve">, but undertakings should not consider </w:t>
      </w:r>
      <w:r w:rsidR="0080194F">
        <w:t>a</w:t>
      </w:r>
      <w:r w:rsidR="0026169D">
        <w:t xml:space="preserve"> topic material only in case of non-compliance.</w:t>
      </w:r>
    </w:p>
    <w:p w14:paraId="4EB4C047" w14:textId="224749B4" w:rsidR="00E16F07" w:rsidRDefault="00E16F07" w:rsidP="00FA47DC">
      <w:pPr>
        <w:pStyle w:val="ListParagraph"/>
        <w:numPr>
          <w:ilvl w:val="0"/>
          <w:numId w:val="6"/>
        </w:numPr>
      </w:pPr>
      <w:r w:rsidRPr="00700389">
        <w:rPr>
          <w:b/>
          <w:bCs/>
        </w:rPr>
        <w:t>FAQ 20</w:t>
      </w:r>
      <w:r>
        <w:t xml:space="preserve"> – </w:t>
      </w:r>
      <w:r w:rsidR="00451860">
        <w:t>I</w:t>
      </w:r>
      <w:r>
        <w:t xml:space="preserve">t would be </w:t>
      </w:r>
      <w:r w:rsidR="00451860">
        <w:t>useful</w:t>
      </w:r>
      <w:r>
        <w:t xml:space="preserve"> to give more guidance on the “expected” disclosures on the DMA process. By giving more guidance on this, we can better manage expectations.</w:t>
      </w:r>
    </w:p>
    <w:p w14:paraId="665547B1" w14:textId="647D3C9D" w:rsidR="00E16F07" w:rsidRDefault="00E16F07" w:rsidP="00701DAC">
      <w:pPr>
        <w:pStyle w:val="ListParagraph"/>
        <w:numPr>
          <w:ilvl w:val="0"/>
          <w:numId w:val="6"/>
        </w:numPr>
      </w:pPr>
      <w:r w:rsidRPr="00F828B3">
        <w:rPr>
          <w:b/>
          <w:bCs/>
        </w:rPr>
        <w:t xml:space="preserve">Paragraph 219 </w:t>
      </w:r>
      <w:r>
        <w:t xml:space="preserve">– </w:t>
      </w:r>
      <w:r w:rsidR="009D67B7">
        <w:t>C</w:t>
      </w:r>
      <w:r w:rsidR="00F34880">
        <w:t>ontext</w:t>
      </w:r>
      <w:r>
        <w:t xml:space="preserve"> of this section</w:t>
      </w:r>
      <w:r w:rsidR="009D67B7">
        <w:t xml:space="preserve"> </w:t>
      </w:r>
      <w:r w:rsidR="00F828B3">
        <w:t xml:space="preserve">(examples of avoidance, minimisation, restoration, and compensation) </w:t>
      </w:r>
      <w:r w:rsidR="009D67B7">
        <w:t>is not explained</w:t>
      </w:r>
      <w:r>
        <w:t>.</w:t>
      </w:r>
    </w:p>
    <w:p w14:paraId="6D8EA31A" w14:textId="542E8F38" w:rsidR="005C6207" w:rsidRPr="005C6207" w:rsidRDefault="00E16F07" w:rsidP="005C6207">
      <w:pPr>
        <w:pStyle w:val="ListParagraph"/>
        <w:numPr>
          <w:ilvl w:val="0"/>
          <w:numId w:val="6"/>
        </w:numPr>
      </w:pPr>
      <w:r w:rsidRPr="005C6207">
        <w:rPr>
          <w:b/>
          <w:bCs/>
        </w:rPr>
        <w:t>Section 5.7 on EU Taxonomy</w:t>
      </w:r>
      <w:r>
        <w:t xml:space="preserve"> – we found this section </w:t>
      </w:r>
      <w:r w:rsidR="00B12505">
        <w:t>unclear,</w:t>
      </w:r>
      <w:r>
        <w:t xml:space="preserve"> and the examples did not support the storyline. We suggest improving or remov</w:t>
      </w:r>
      <w:r w:rsidR="005E0F92">
        <w:t>ing</w:t>
      </w:r>
      <w:r>
        <w:t xml:space="preserve"> the section.</w:t>
      </w:r>
      <w:r w:rsidR="005C6207">
        <w:t xml:space="preserve"> </w:t>
      </w:r>
      <w:r w:rsidR="00B20D1F">
        <w:t>Most of the</w:t>
      </w:r>
      <w:r w:rsidR="005C6207" w:rsidRPr="005C6207">
        <w:t xml:space="preserve"> companies required to comply with the CSRD do not apply the EU Taxonomy yet. </w:t>
      </w:r>
      <w:r w:rsidR="00842B86">
        <w:t>The connection of the materiality assessment to the Taxonomy should hence be better explained</w:t>
      </w:r>
      <w:r w:rsidR="00CE28F2">
        <w:t>, as well as approach for companies not engaged in eligible activities.</w:t>
      </w:r>
    </w:p>
    <w:p w14:paraId="4D36D10D" w14:textId="2B1FA119" w:rsidR="00FA47DC" w:rsidRDefault="00FA47DC" w:rsidP="00FA47DC">
      <w:pPr>
        <w:pStyle w:val="ListParagraph"/>
        <w:numPr>
          <w:ilvl w:val="0"/>
          <w:numId w:val="6"/>
        </w:numPr>
      </w:pPr>
      <w:r>
        <w:t xml:space="preserve">The guidance uses references to </w:t>
      </w:r>
      <w:r w:rsidRPr="00BE438D">
        <w:rPr>
          <w:b/>
          <w:bCs/>
        </w:rPr>
        <w:t>IFRS S1 and SASB</w:t>
      </w:r>
      <w:r>
        <w:t xml:space="preserve"> (chapter 4 paragraph 135) as part of sector-specific reporting, which </w:t>
      </w:r>
      <w:r w:rsidR="00EF281D">
        <w:t>might be</w:t>
      </w:r>
      <w:r>
        <w:t xml:space="preserve"> excessive</w:t>
      </w:r>
      <w:r w:rsidR="0080194F">
        <w:t>,</w:t>
      </w:r>
      <w:r>
        <w:t xml:space="preserve"> in particular for the new readers</w:t>
      </w:r>
      <w:r w:rsidR="00BE01C9">
        <w:t xml:space="preserve"> since s</w:t>
      </w:r>
      <w:r>
        <w:t>ector</w:t>
      </w:r>
      <w:r w:rsidR="0080194F">
        <w:t>-s</w:t>
      </w:r>
      <w:r>
        <w:t xml:space="preserve">pecific </w:t>
      </w:r>
      <w:r w:rsidR="00BE01C9">
        <w:t>standards</w:t>
      </w:r>
      <w:r>
        <w:t xml:space="preserve"> and scope </w:t>
      </w:r>
      <w:r w:rsidR="00BE01C9">
        <w:t>are</w:t>
      </w:r>
      <w:r>
        <w:t xml:space="preserve"> not yet formally developed, </w:t>
      </w:r>
      <w:r w:rsidR="00BE01C9">
        <w:t xml:space="preserve">and </w:t>
      </w:r>
      <w:r>
        <w:t>there is no obligation for ESRS reporters to use IFRS or SASB at the moment.</w:t>
      </w:r>
      <w:r w:rsidR="00314D74">
        <w:t xml:space="preserve"> </w:t>
      </w:r>
    </w:p>
    <w:p w14:paraId="52A1F630" w14:textId="37DB3E25" w:rsidR="00542178" w:rsidRPr="0052334E" w:rsidRDefault="00542178" w:rsidP="00542178">
      <w:pPr>
        <w:pStyle w:val="ListParagraph"/>
        <w:numPr>
          <w:ilvl w:val="0"/>
          <w:numId w:val="6"/>
        </w:numPr>
        <w:autoSpaceDE w:val="0"/>
        <w:autoSpaceDN w:val="0"/>
        <w:spacing w:after="0" w:line="240" w:lineRule="auto"/>
      </w:pPr>
      <w:r w:rsidRPr="00CD2156">
        <w:rPr>
          <w:b/>
          <w:bCs/>
        </w:rPr>
        <w:t>Financial materiality ISSB compliant</w:t>
      </w:r>
      <w:r w:rsidRPr="00CD2156">
        <w:t xml:space="preserve">: “an undertaking that applies ESRS </w:t>
      </w:r>
      <w:r w:rsidRPr="00CD2156">
        <w:rPr>
          <w:u w:val="single"/>
        </w:rPr>
        <w:t>is expected to be able to comply</w:t>
      </w:r>
      <w:r w:rsidRPr="00CD2156">
        <w:t xml:space="preserve"> … under IFRS” (</w:t>
      </w:r>
      <w:r w:rsidRPr="00CD2156">
        <w:rPr>
          <w:b/>
          <w:bCs/>
        </w:rPr>
        <w:t>page 6 – par</w:t>
      </w:r>
      <w:r w:rsidR="00314D74">
        <w:rPr>
          <w:b/>
          <w:bCs/>
        </w:rPr>
        <w:t xml:space="preserve">agraph </w:t>
      </w:r>
      <w:r w:rsidRPr="00CD2156">
        <w:rPr>
          <w:b/>
          <w:bCs/>
        </w:rPr>
        <w:t>12</w:t>
      </w:r>
      <w:r w:rsidRPr="00CD2156">
        <w:t xml:space="preserve">). </w:t>
      </w:r>
      <w:r w:rsidR="00904CA8">
        <w:t>We understand that the IG does not include interoperability interpretations, however, t</w:t>
      </w:r>
      <w:r>
        <w:t xml:space="preserve">he current wording </w:t>
      </w:r>
      <w:r w:rsidR="00904CA8">
        <w:t xml:space="preserve">might be </w:t>
      </w:r>
      <w:r w:rsidR="00904CA8">
        <w:lastRenderedPageBreak/>
        <w:t xml:space="preserve">misinterpreted as </w:t>
      </w:r>
      <w:r>
        <w:t>does not give</w:t>
      </w:r>
      <w:r w:rsidRPr="00CD2156">
        <w:t xml:space="preserve"> clarity whether ESRS disclosure is adequate to comply with ISSB requirements and reference is sufficient</w:t>
      </w:r>
      <w:r>
        <w:t>.</w:t>
      </w:r>
    </w:p>
    <w:p w14:paraId="73DF0925" w14:textId="77777777" w:rsidR="00205FE0" w:rsidRDefault="00205FE0" w:rsidP="00CD2156">
      <w:pPr>
        <w:pStyle w:val="ListParagraph"/>
      </w:pPr>
    </w:p>
    <w:p w14:paraId="6F55698B" w14:textId="77777777" w:rsidR="006B4536" w:rsidRDefault="006B4536" w:rsidP="00CD2156"/>
    <w:p w14:paraId="532377BF" w14:textId="77777777" w:rsidR="00471D89" w:rsidRDefault="00471D89" w:rsidP="000268AD">
      <w:pPr>
        <w:rPr>
          <w:b/>
          <w:bCs/>
        </w:rPr>
      </w:pPr>
    </w:p>
    <w:p w14:paraId="5394B0C2" w14:textId="0C7083E1" w:rsidR="000268AD" w:rsidRDefault="000268AD" w:rsidP="005538FF"/>
    <w:sectPr w:rsidR="000268A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venir Next LT Pro">
    <w:charset w:val="00"/>
    <w:family w:val="swiss"/>
    <w:pitch w:val="variable"/>
    <w:sig w:usb0="800000EF" w:usb1="5000204A" w:usb2="00000000" w:usb3="00000000" w:csb0="00000093" w:csb1="00000000"/>
  </w:font>
  <w:font w:name="HelveticaNeueLT Std">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46C07"/>
    <w:multiLevelType w:val="hybridMultilevel"/>
    <w:tmpl w:val="0A76C2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0C218CD"/>
    <w:multiLevelType w:val="hybridMultilevel"/>
    <w:tmpl w:val="62BE750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179E50C9"/>
    <w:multiLevelType w:val="hybridMultilevel"/>
    <w:tmpl w:val="F64C8DF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1E920912"/>
    <w:multiLevelType w:val="hybridMultilevel"/>
    <w:tmpl w:val="45F4315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1E96203D"/>
    <w:multiLevelType w:val="hybridMultilevel"/>
    <w:tmpl w:val="FED6F644"/>
    <w:lvl w:ilvl="0" w:tplc="D436CCD2">
      <w:start w:val="1"/>
      <w:numFmt w:val="decimal"/>
      <w:lvlText w:val="%1."/>
      <w:lvlJc w:val="left"/>
      <w:pPr>
        <w:ind w:left="720" w:hanging="360"/>
      </w:pPr>
      <w:rPr>
        <w:rFonts w:cs="Times New Roman"/>
        <w:color w:val="464B4B"/>
        <w:sz w:val="20"/>
      </w:rPr>
    </w:lvl>
    <w:lvl w:ilvl="1" w:tplc="33A2447E">
      <w:start w:val="1"/>
      <w:numFmt w:val="lowerLetter"/>
      <w:lvlText w:val="%2."/>
      <w:lvlJc w:val="left"/>
      <w:pPr>
        <w:ind w:left="1440" w:hanging="360"/>
      </w:pPr>
      <w:rPr>
        <w:rFonts w:ascii="Arial" w:eastAsia="Times New Roman" w:hAnsi="Arial" w:cs="Arial"/>
        <w:b w:val="0"/>
        <w:bCs w:val="0"/>
        <w:color w:val="000000"/>
        <w:sz w:val="20"/>
        <w:szCs w:val="20"/>
      </w:r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5" w15:restartNumberingAfterBreak="0">
    <w:nsid w:val="28C55375"/>
    <w:multiLevelType w:val="hybridMultilevel"/>
    <w:tmpl w:val="9DB0FA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8B002DA"/>
    <w:multiLevelType w:val="hybridMultilevel"/>
    <w:tmpl w:val="394C68B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A9C36B8"/>
    <w:multiLevelType w:val="hybridMultilevel"/>
    <w:tmpl w:val="FE62A7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6A27535"/>
    <w:multiLevelType w:val="hybridMultilevel"/>
    <w:tmpl w:val="69EE6D2E"/>
    <w:lvl w:ilvl="0" w:tplc="4B28C5E8">
      <w:start w:val="3"/>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492F57DE"/>
    <w:multiLevelType w:val="hybridMultilevel"/>
    <w:tmpl w:val="5502BA00"/>
    <w:lvl w:ilvl="0" w:tplc="B2B2DA90">
      <w:start w:val="1"/>
      <w:numFmt w:val="decimal"/>
      <w:pStyle w:val="TextDraft"/>
      <w:lvlText w:val="(%1)"/>
      <w:lvlJc w:val="right"/>
      <w:pPr>
        <w:ind w:left="184" w:hanging="360"/>
      </w:pPr>
      <w:rPr>
        <w:rFonts w:hint="default"/>
      </w:rPr>
    </w:lvl>
    <w:lvl w:ilvl="1" w:tplc="04090019">
      <w:start w:val="1"/>
      <w:numFmt w:val="lowerLetter"/>
      <w:lvlText w:val="%2."/>
      <w:lvlJc w:val="left"/>
      <w:pPr>
        <w:ind w:left="1264" w:hanging="360"/>
      </w:pPr>
    </w:lvl>
    <w:lvl w:ilvl="2" w:tplc="0409001B" w:tentative="1">
      <w:start w:val="1"/>
      <w:numFmt w:val="lowerRoman"/>
      <w:lvlText w:val="%3."/>
      <w:lvlJc w:val="right"/>
      <w:pPr>
        <w:ind w:left="1984" w:hanging="180"/>
      </w:pPr>
    </w:lvl>
    <w:lvl w:ilvl="3" w:tplc="0409000F" w:tentative="1">
      <w:start w:val="1"/>
      <w:numFmt w:val="decimal"/>
      <w:lvlText w:val="%4."/>
      <w:lvlJc w:val="left"/>
      <w:pPr>
        <w:ind w:left="2704" w:hanging="360"/>
      </w:pPr>
    </w:lvl>
    <w:lvl w:ilvl="4" w:tplc="04090019" w:tentative="1">
      <w:start w:val="1"/>
      <w:numFmt w:val="lowerLetter"/>
      <w:lvlText w:val="%5."/>
      <w:lvlJc w:val="left"/>
      <w:pPr>
        <w:ind w:left="3424" w:hanging="360"/>
      </w:pPr>
    </w:lvl>
    <w:lvl w:ilvl="5" w:tplc="0409001B" w:tentative="1">
      <w:start w:val="1"/>
      <w:numFmt w:val="lowerRoman"/>
      <w:lvlText w:val="%6."/>
      <w:lvlJc w:val="right"/>
      <w:pPr>
        <w:ind w:left="4144" w:hanging="180"/>
      </w:pPr>
    </w:lvl>
    <w:lvl w:ilvl="6" w:tplc="0409000F" w:tentative="1">
      <w:start w:val="1"/>
      <w:numFmt w:val="decimal"/>
      <w:lvlText w:val="%7."/>
      <w:lvlJc w:val="left"/>
      <w:pPr>
        <w:ind w:left="4864" w:hanging="360"/>
      </w:pPr>
    </w:lvl>
    <w:lvl w:ilvl="7" w:tplc="04090019" w:tentative="1">
      <w:start w:val="1"/>
      <w:numFmt w:val="lowerLetter"/>
      <w:lvlText w:val="%8."/>
      <w:lvlJc w:val="left"/>
      <w:pPr>
        <w:ind w:left="5584" w:hanging="360"/>
      </w:pPr>
    </w:lvl>
    <w:lvl w:ilvl="8" w:tplc="0409001B" w:tentative="1">
      <w:start w:val="1"/>
      <w:numFmt w:val="lowerRoman"/>
      <w:lvlText w:val="%9."/>
      <w:lvlJc w:val="right"/>
      <w:pPr>
        <w:ind w:left="6304" w:hanging="180"/>
      </w:pPr>
    </w:lvl>
  </w:abstractNum>
  <w:abstractNum w:abstractNumId="10" w15:restartNumberingAfterBreak="0">
    <w:nsid w:val="49395324"/>
    <w:multiLevelType w:val="hybridMultilevel"/>
    <w:tmpl w:val="5AE8E22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75B56C16"/>
    <w:multiLevelType w:val="hybridMultilevel"/>
    <w:tmpl w:val="994091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73816297">
    <w:abstractNumId w:val="11"/>
  </w:num>
  <w:num w:numId="2" w16cid:durableId="96098946">
    <w:abstractNumId w:val="0"/>
  </w:num>
  <w:num w:numId="3" w16cid:durableId="7411083">
    <w:abstractNumId w:val="1"/>
  </w:num>
  <w:num w:numId="4" w16cid:durableId="302777699">
    <w:abstractNumId w:val="2"/>
  </w:num>
  <w:num w:numId="5" w16cid:durableId="1167793829">
    <w:abstractNumId w:val="8"/>
  </w:num>
  <w:num w:numId="6" w16cid:durableId="2039811353">
    <w:abstractNumId w:val="6"/>
  </w:num>
  <w:num w:numId="7" w16cid:durableId="1816796326">
    <w:abstractNumId w:val="7"/>
  </w:num>
  <w:num w:numId="8" w16cid:durableId="1279678313">
    <w:abstractNumId w:val="3"/>
  </w:num>
  <w:num w:numId="9" w16cid:durableId="315646931">
    <w:abstractNumId w:val="5"/>
  </w:num>
  <w:num w:numId="10" w16cid:durableId="1436826468">
    <w:abstractNumId w:val="9"/>
  </w:num>
  <w:num w:numId="11" w16cid:durableId="60385368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891743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8AD"/>
    <w:rsid w:val="00000D53"/>
    <w:rsid w:val="000143FE"/>
    <w:rsid w:val="00017C0E"/>
    <w:rsid w:val="00017EB6"/>
    <w:rsid w:val="000237A2"/>
    <w:rsid w:val="0002644E"/>
    <w:rsid w:val="000268AD"/>
    <w:rsid w:val="00033DB4"/>
    <w:rsid w:val="00035FC5"/>
    <w:rsid w:val="0004085E"/>
    <w:rsid w:val="00052096"/>
    <w:rsid w:val="00054AED"/>
    <w:rsid w:val="00057A03"/>
    <w:rsid w:val="00057C98"/>
    <w:rsid w:val="00063DBB"/>
    <w:rsid w:val="000736C4"/>
    <w:rsid w:val="00075EA8"/>
    <w:rsid w:val="00082932"/>
    <w:rsid w:val="00082E3E"/>
    <w:rsid w:val="000A4965"/>
    <w:rsid w:val="000B5A61"/>
    <w:rsid w:val="000B72AF"/>
    <w:rsid w:val="000C57AE"/>
    <w:rsid w:val="000D4E82"/>
    <w:rsid w:val="000E03BC"/>
    <w:rsid w:val="000E62C2"/>
    <w:rsid w:val="000E7A8F"/>
    <w:rsid w:val="000E7CAB"/>
    <w:rsid w:val="000F2EB8"/>
    <w:rsid w:val="001017CA"/>
    <w:rsid w:val="00110964"/>
    <w:rsid w:val="001110BB"/>
    <w:rsid w:val="0012318D"/>
    <w:rsid w:val="00135391"/>
    <w:rsid w:val="00140B76"/>
    <w:rsid w:val="00143D29"/>
    <w:rsid w:val="0016083A"/>
    <w:rsid w:val="00161C54"/>
    <w:rsid w:val="00163D92"/>
    <w:rsid w:val="00165265"/>
    <w:rsid w:val="00171145"/>
    <w:rsid w:val="001727BF"/>
    <w:rsid w:val="00185610"/>
    <w:rsid w:val="00196759"/>
    <w:rsid w:val="00196B02"/>
    <w:rsid w:val="0019785B"/>
    <w:rsid w:val="001A0258"/>
    <w:rsid w:val="001A098F"/>
    <w:rsid w:val="001A590A"/>
    <w:rsid w:val="001B02FC"/>
    <w:rsid w:val="001B2EED"/>
    <w:rsid w:val="001B6BDE"/>
    <w:rsid w:val="001C1601"/>
    <w:rsid w:val="001C2466"/>
    <w:rsid w:val="001D0E39"/>
    <w:rsid w:val="001D5BAD"/>
    <w:rsid w:val="001E247C"/>
    <w:rsid w:val="001E66BB"/>
    <w:rsid w:val="001F3EB4"/>
    <w:rsid w:val="001F4993"/>
    <w:rsid w:val="00205FE0"/>
    <w:rsid w:val="0021120C"/>
    <w:rsid w:val="0022352E"/>
    <w:rsid w:val="00232DA5"/>
    <w:rsid w:val="00236FD8"/>
    <w:rsid w:val="0024198C"/>
    <w:rsid w:val="00243B12"/>
    <w:rsid w:val="00244301"/>
    <w:rsid w:val="00246076"/>
    <w:rsid w:val="002508D9"/>
    <w:rsid w:val="0025112F"/>
    <w:rsid w:val="00252B2E"/>
    <w:rsid w:val="002542BC"/>
    <w:rsid w:val="00254E9E"/>
    <w:rsid w:val="00257ACB"/>
    <w:rsid w:val="0026169D"/>
    <w:rsid w:val="00263632"/>
    <w:rsid w:val="00271951"/>
    <w:rsid w:val="00276AFC"/>
    <w:rsid w:val="00280431"/>
    <w:rsid w:val="002940F7"/>
    <w:rsid w:val="002956E9"/>
    <w:rsid w:val="002A024A"/>
    <w:rsid w:val="002A451F"/>
    <w:rsid w:val="002C0BB4"/>
    <w:rsid w:val="002C1C85"/>
    <w:rsid w:val="002C1F02"/>
    <w:rsid w:val="002C71A8"/>
    <w:rsid w:val="002E54B2"/>
    <w:rsid w:val="002E643B"/>
    <w:rsid w:val="002F05C7"/>
    <w:rsid w:val="00311E8B"/>
    <w:rsid w:val="0031383E"/>
    <w:rsid w:val="00314D74"/>
    <w:rsid w:val="0031596E"/>
    <w:rsid w:val="00324478"/>
    <w:rsid w:val="00334FF6"/>
    <w:rsid w:val="003376EB"/>
    <w:rsid w:val="00343BD7"/>
    <w:rsid w:val="003468BE"/>
    <w:rsid w:val="00350D27"/>
    <w:rsid w:val="00355866"/>
    <w:rsid w:val="003559E1"/>
    <w:rsid w:val="00360466"/>
    <w:rsid w:val="00361F40"/>
    <w:rsid w:val="0037027B"/>
    <w:rsid w:val="0037577C"/>
    <w:rsid w:val="0039705C"/>
    <w:rsid w:val="003B0E40"/>
    <w:rsid w:val="003B18AB"/>
    <w:rsid w:val="003C61C4"/>
    <w:rsid w:val="003D750A"/>
    <w:rsid w:val="003E2EA6"/>
    <w:rsid w:val="003E4266"/>
    <w:rsid w:val="003E455C"/>
    <w:rsid w:val="003E54DD"/>
    <w:rsid w:val="003E7495"/>
    <w:rsid w:val="003F4719"/>
    <w:rsid w:val="003F7B0B"/>
    <w:rsid w:val="00405751"/>
    <w:rsid w:val="00414501"/>
    <w:rsid w:val="00432946"/>
    <w:rsid w:val="00434399"/>
    <w:rsid w:val="004370FC"/>
    <w:rsid w:val="00440307"/>
    <w:rsid w:val="00441B6A"/>
    <w:rsid w:val="00446786"/>
    <w:rsid w:val="00451860"/>
    <w:rsid w:val="004530EE"/>
    <w:rsid w:val="0045528A"/>
    <w:rsid w:val="00455374"/>
    <w:rsid w:val="004617C4"/>
    <w:rsid w:val="00467B93"/>
    <w:rsid w:val="00471D89"/>
    <w:rsid w:val="00473E1D"/>
    <w:rsid w:val="00480A63"/>
    <w:rsid w:val="00483827"/>
    <w:rsid w:val="0048515F"/>
    <w:rsid w:val="0048555D"/>
    <w:rsid w:val="00496481"/>
    <w:rsid w:val="004A0DB7"/>
    <w:rsid w:val="004A2417"/>
    <w:rsid w:val="004A413D"/>
    <w:rsid w:val="004A718B"/>
    <w:rsid w:val="004A791A"/>
    <w:rsid w:val="004B03EA"/>
    <w:rsid w:val="004B0485"/>
    <w:rsid w:val="004B1775"/>
    <w:rsid w:val="004E27BB"/>
    <w:rsid w:val="004E38E9"/>
    <w:rsid w:val="004E7CCB"/>
    <w:rsid w:val="00512054"/>
    <w:rsid w:val="00514DCD"/>
    <w:rsid w:val="00517BE2"/>
    <w:rsid w:val="00522856"/>
    <w:rsid w:val="0052334E"/>
    <w:rsid w:val="00524777"/>
    <w:rsid w:val="0052531A"/>
    <w:rsid w:val="00526E74"/>
    <w:rsid w:val="00534DCB"/>
    <w:rsid w:val="00542178"/>
    <w:rsid w:val="005473ED"/>
    <w:rsid w:val="005538FF"/>
    <w:rsid w:val="00563AAD"/>
    <w:rsid w:val="0056414B"/>
    <w:rsid w:val="005649A0"/>
    <w:rsid w:val="0058092E"/>
    <w:rsid w:val="00582682"/>
    <w:rsid w:val="005826E4"/>
    <w:rsid w:val="00585EEB"/>
    <w:rsid w:val="00592540"/>
    <w:rsid w:val="005A17DB"/>
    <w:rsid w:val="005A2B0E"/>
    <w:rsid w:val="005A35B2"/>
    <w:rsid w:val="005A78E1"/>
    <w:rsid w:val="005B05BD"/>
    <w:rsid w:val="005B45CB"/>
    <w:rsid w:val="005C141D"/>
    <w:rsid w:val="005C19F1"/>
    <w:rsid w:val="005C52C2"/>
    <w:rsid w:val="005C6207"/>
    <w:rsid w:val="005D492D"/>
    <w:rsid w:val="005D5ABF"/>
    <w:rsid w:val="005E0F92"/>
    <w:rsid w:val="005F3BE7"/>
    <w:rsid w:val="00603731"/>
    <w:rsid w:val="00606AE3"/>
    <w:rsid w:val="00612282"/>
    <w:rsid w:val="006157E3"/>
    <w:rsid w:val="00620B67"/>
    <w:rsid w:val="0062161E"/>
    <w:rsid w:val="00621F1B"/>
    <w:rsid w:val="00622042"/>
    <w:rsid w:val="0062269B"/>
    <w:rsid w:val="0062411C"/>
    <w:rsid w:val="00632315"/>
    <w:rsid w:val="006348E1"/>
    <w:rsid w:val="0063510D"/>
    <w:rsid w:val="00637B6F"/>
    <w:rsid w:val="006429D9"/>
    <w:rsid w:val="0064354C"/>
    <w:rsid w:val="0064465B"/>
    <w:rsid w:val="00653C4E"/>
    <w:rsid w:val="006542B8"/>
    <w:rsid w:val="00664C13"/>
    <w:rsid w:val="00670BB8"/>
    <w:rsid w:val="00672151"/>
    <w:rsid w:val="00677474"/>
    <w:rsid w:val="00677F68"/>
    <w:rsid w:val="00695B4D"/>
    <w:rsid w:val="0069737E"/>
    <w:rsid w:val="006A1188"/>
    <w:rsid w:val="006B02F7"/>
    <w:rsid w:val="006B0985"/>
    <w:rsid w:val="006B2B5F"/>
    <w:rsid w:val="006B4536"/>
    <w:rsid w:val="006D14BF"/>
    <w:rsid w:val="006D4A8D"/>
    <w:rsid w:val="006D7D02"/>
    <w:rsid w:val="006E21C5"/>
    <w:rsid w:val="006E6B79"/>
    <w:rsid w:val="00700389"/>
    <w:rsid w:val="00710848"/>
    <w:rsid w:val="00712B6E"/>
    <w:rsid w:val="00716F69"/>
    <w:rsid w:val="00723E45"/>
    <w:rsid w:val="00723E8B"/>
    <w:rsid w:val="00746A28"/>
    <w:rsid w:val="00751149"/>
    <w:rsid w:val="0075400A"/>
    <w:rsid w:val="0075790C"/>
    <w:rsid w:val="007626B5"/>
    <w:rsid w:val="00767F83"/>
    <w:rsid w:val="00775655"/>
    <w:rsid w:val="00777D85"/>
    <w:rsid w:val="00780FEF"/>
    <w:rsid w:val="00782B24"/>
    <w:rsid w:val="0078384E"/>
    <w:rsid w:val="00786C15"/>
    <w:rsid w:val="00792502"/>
    <w:rsid w:val="007A71B2"/>
    <w:rsid w:val="007B31DF"/>
    <w:rsid w:val="007C27E6"/>
    <w:rsid w:val="007C585B"/>
    <w:rsid w:val="007C7C30"/>
    <w:rsid w:val="007D0BA2"/>
    <w:rsid w:val="007D3103"/>
    <w:rsid w:val="007D5C60"/>
    <w:rsid w:val="007D6844"/>
    <w:rsid w:val="007E1D39"/>
    <w:rsid w:val="007E22FA"/>
    <w:rsid w:val="007F0043"/>
    <w:rsid w:val="007F755C"/>
    <w:rsid w:val="008009B0"/>
    <w:rsid w:val="0080194F"/>
    <w:rsid w:val="0080375D"/>
    <w:rsid w:val="00804BC7"/>
    <w:rsid w:val="008057BA"/>
    <w:rsid w:val="00807A00"/>
    <w:rsid w:val="00815AED"/>
    <w:rsid w:val="00831437"/>
    <w:rsid w:val="00832D96"/>
    <w:rsid w:val="0083418B"/>
    <w:rsid w:val="0083649B"/>
    <w:rsid w:val="00842B86"/>
    <w:rsid w:val="00877A18"/>
    <w:rsid w:val="008827B4"/>
    <w:rsid w:val="00885B60"/>
    <w:rsid w:val="00887E9B"/>
    <w:rsid w:val="008A7802"/>
    <w:rsid w:val="008B5AE1"/>
    <w:rsid w:val="008B7A33"/>
    <w:rsid w:val="008C577C"/>
    <w:rsid w:val="008E2E0A"/>
    <w:rsid w:val="008F194A"/>
    <w:rsid w:val="00904CA8"/>
    <w:rsid w:val="0090618A"/>
    <w:rsid w:val="009064AA"/>
    <w:rsid w:val="00913207"/>
    <w:rsid w:val="00915318"/>
    <w:rsid w:val="0092321D"/>
    <w:rsid w:val="00942C84"/>
    <w:rsid w:val="00944825"/>
    <w:rsid w:val="00944EE3"/>
    <w:rsid w:val="009566DB"/>
    <w:rsid w:val="009701D3"/>
    <w:rsid w:val="0097130B"/>
    <w:rsid w:val="009841CE"/>
    <w:rsid w:val="009868BF"/>
    <w:rsid w:val="00997F6A"/>
    <w:rsid w:val="009A1884"/>
    <w:rsid w:val="009A7925"/>
    <w:rsid w:val="009B72CA"/>
    <w:rsid w:val="009B736F"/>
    <w:rsid w:val="009D67B7"/>
    <w:rsid w:val="009E734C"/>
    <w:rsid w:val="00A0441C"/>
    <w:rsid w:val="00A067CA"/>
    <w:rsid w:val="00A24258"/>
    <w:rsid w:val="00A25903"/>
    <w:rsid w:val="00A368A0"/>
    <w:rsid w:val="00A40976"/>
    <w:rsid w:val="00A46E00"/>
    <w:rsid w:val="00A63794"/>
    <w:rsid w:val="00A65A54"/>
    <w:rsid w:val="00A6744C"/>
    <w:rsid w:val="00A720F5"/>
    <w:rsid w:val="00A836E9"/>
    <w:rsid w:val="00A9626C"/>
    <w:rsid w:val="00A96F60"/>
    <w:rsid w:val="00AA199D"/>
    <w:rsid w:val="00AA564A"/>
    <w:rsid w:val="00AA5C98"/>
    <w:rsid w:val="00AB0D38"/>
    <w:rsid w:val="00AB5FAE"/>
    <w:rsid w:val="00AB67B9"/>
    <w:rsid w:val="00AD05D1"/>
    <w:rsid w:val="00AD3490"/>
    <w:rsid w:val="00AD4CCD"/>
    <w:rsid w:val="00AD6432"/>
    <w:rsid w:val="00AE0B33"/>
    <w:rsid w:val="00AE20B1"/>
    <w:rsid w:val="00AF779B"/>
    <w:rsid w:val="00B0369F"/>
    <w:rsid w:val="00B110B6"/>
    <w:rsid w:val="00B1119F"/>
    <w:rsid w:val="00B12505"/>
    <w:rsid w:val="00B20D1F"/>
    <w:rsid w:val="00B3376E"/>
    <w:rsid w:val="00B3677F"/>
    <w:rsid w:val="00B402C9"/>
    <w:rsid w:val="00B41A37"/>
    <w:rsid w:val="00B41DF1"/>
    <w:rsid w:val="00B54B3A"/>
    <w:rsid w:val="00B61010"/>
    <w:rsid w:val="00B63C39"/>
    <w:rsid w:val="00B66A8E"/>
    <w:rsid w:val="00B71A44"/>
    <w:rsid w:val="00B729C1"/>
    <w:rsid w:val="00B73F71"/>
    <w:rsid w:val="00B76242"/>
    <w:rsid w:val="00B81904"/>
    <w:rsid w:val="00B82B16"/>
    <w:rsid w:val="00B8312D"/>
    <w:rsid w:val="00BB064C"/>
    <w:rsid w:val="00BC0F84"/>
    <w:rsid w:val="00BC4A6C"/>
    <w:rsid w:val="00BC647F"/>
    <w:rsid w:val="00BC6838"/>
    <w:rsid w:val="00BD1234"/>
    <w:rsid w:val="00BD2A18"/>
    <w:rsid w:val="00BE01C9"/>
    <w:rsid w:val="00BE2F75"/>
    <w:rsid w:val="00BE3236"/>
    <w:rsid w:val="00C00FCA"/>
    <w:rsid w:val="00C01734"/>
    <w:rsid w:val="00C07F30"/>
    <w:rsid w:val="00C148AE"/>
    <w:rsid w:val="00C314A2"/>
    <w:rsid w:val="00C33CB0"/>
    <w:rsid w:val="00C346F8"/>
    <w:rsid w:val="00C41320"/>
    <w:rsid w:val="00C50039"/>
    <w:rsid w:val="00C5562E"/>
    <w:rsid w:val="00C60499"/>
    <w:rsid w:val="00C65B7E"/>
    <w:rsid w:val="00C774E2"/>
    <w:rsid w:val="00C83738"/>
    <w:rsid w:val="00C86EB9"/>
    <w:rsid w:val="00C926D6"/>
    <w:rsid w:val="00C92E8A"/>
    <w:rsid w:val="00CA5E9E"/>
    <w:rsid w:val="00CA6869"/>
    <w:rsid w:val="00CB55E8"/>
    <w:rsid w:val="00CC34C8"/>
    <w:rsid w:val="00CD20A7"/>
    <w:rsid w:val="00CD2156"/>
    <w:rsid w:val="00CD312E"/>
    <w:rsid w:val="00CD5E39"/>
    <w:rsid w:val="00CE0F2B"/>
    <w:rsid w:val="00CE28F2"/>
    <w:rsid w:val="00CF2F6D"/>
    <w:rsid w:val="00D001CD"/>
    <w:rsid w:val="00D04C3F"/>
    <w:rsid w:val="00D23290"/>
    <w:rsid w:val="00D2382C"/>
    <w:rsid w:val="00D30D7D"/>
    <w:rsid w:val="00D35EF5"/>
    <w:rsid w:val="00D37A3A"/>
    <w:rsid w:val="00D60927"/>
    <w:rsid w:val="00D63B9F"/>
    <w:rsid w:val="00D65763"/>
    <w:rsid w:val="00D7233B"/>
    <w:rsid w:val="00D74368"/>
    <w:rsid w:val="00D80236"/>
    <w:rsid w:val="00D9271C"/>
    <w:rsid w:val="00DA39EE"/>
    <w:rsid w:val="00DB5A88"/>
    <w:rsid w:val="00DC7456"/>
    <w:rsid w:val="00DE4230"/>
    <w:rsid w:val="00DE4AA0"/>
    <w:rsid w:val="00DE5066"/>
    <w:rsid w:val="00DF508D"/>
    <w:rsid w:val="00E02EED"/>
    <w:rsid w:val="00E1029B"/>
    <w:rsid w:val="00E16F07"/>
    <w:rsid w:val="00E33F90"/>
    <w:rsid w:val="00E35392"/>
    <w:rsid w:val="00E37993"/>
    <w:rsid w:val="00E44DF8"/>
    <w:rsid w:val="00E4777A"/>
    <w:rsid w:val="00E501B9"/>
    <w:rsid w:val="00E51329"/>
    <w:rsid w:val="00E5375D"/>
    <w:rsid w:val="00E54923"/>
    <w:rsid w:val="00E604B1"/>
    <w:rsid w:val="00E61ABB"/>
    <w:rsid w:val="00E6663C"/>
    <w:rsid w:val="00E6795F"/>
    <w:rsid w:val="00E7284A"/>
    <w:rsid w:val="00E73B43"/>
    <w:rsid w:val="00E754C6"/>
    <w:rsid w:val="00E77740"/>
    <w:rsid w:val="00E807A2"/>
    <w:rsid w:val="00E84FF5"/>
    <w:rsid w:val="00E9209B"/>
    <w:rsid w:val="00E92FE3"/>
    <w:rsid w:val="00E93E88"/>
    <w:rsid w:val="00E94BD5"/>
    <w:rsid w:val="00EA090E"/>
    <w:rsid w:val="00EA6E3D"/>
    <w:rsid w:val="00EB4398"/>
    <w:rsid w:val="00EB5147"/>
    <w:rsid w:val="00EC432F"/>
    <w:rsid w:val="00ED0794"/>
    <w:rsid w:val="00ED6C4D"/>
    <w:rsid w:val="00EE3C10"/>
    <w:rsid w:val="00EF0FA0"/>
    <w:rsid w:val="00EF281D"/>
    <w:rsid w:val="00F0128B"/>
    <w:rsid w:val="00F152C6"/>
    <w:rsid w:val="00F22BEE"/>
    <w:rsid w:val="00F2354A"/>
    <w:rsid w:val="00F31B24"/>
    <w:rsid w:val="00F34880"/>
    <w:rsid w:val="00F37CF1"/>
    <w:rsid w:val="00F5043A"/>
    <w:rsid w:val="00F52CFA"/>
    <w:rsid w:val="00F6490C"/>
    <w:rsid w:val="00F653BD"/>
    <w:rsid w:val="00F75EFB"/>
    <w:rsid w:val="00F77627"/>
    <w:rsid w:val="00F82471"/>
    <w:rsid w:val="00F828B3"/>
    <w:rsid w:val="00F93D93"/>
    <w:rsid w:val="00F97CFE"/>
    <w:rsid w:val="00FA47DC"/>
    <w:rsid w:val="00FA5DBB"/>
    <w:rsid w:val="00FA658B"/>
    <w:rsid w:val="00FB35E4"/>
    <w:rsid w:val="00FC0DBF"/>
    <w:rsid w:val="00FC5724"/>
    <w:rsid w:val="00FC634D"/>
    <w:rsid w:val="00FD0CA3"/>
    <w:rsid w:val="00FD6317"/>
    <w:rsid w:val="00FE6BC0"/>
    <w:rsid w:val="00FE72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1ED0A"/>
  <w15:chartTrackingRefBased/>
  <w15:docId w15:val="{68B7FE8B-A609-4D18-A33E-E0DB62540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68AD"/>
    <w:pPr>
      <w:ind w:left="720"/>
      <w:contextualSpacing/>
    </w:pPr>
  </w:style>
  <w:style w:type="paragraph" w:customStyle="1" w:styleId="Default">
    <w:name w:val="Default"/>
    <w:rsid w:val="00E6663C"/>
    <w:pPr>
      <w:autoSpaceDE w:val="0"/>
      <w:autoSpaceDN w:val="0"/>
      <w:adjustRightInd w:val="0"/>
      <w:spacing w:after="0" w:line="240" w:lineRule="auto"/>
    </w:pPr>
    <w:rPr>
      <w:rFonts w:ascii="Avenir Next LT Pro" w:hAnsi="Avenir Next LT Pro" w:cs="Avenir Next LT Pro"/>
      <w:color w:val="000000"/>
      <w:sz w:val="24"/>
      <w:szCs w:val="24"/>
    </w:rPr>
  </w:style>
  <w:style w:type="paragraph" w:styleId="Revision">
    <w:name w:val="Revision"/>
    <w:hidden/>
    <w:uiPriority w:val="99"/>
    <w:semiHidden/>
    <w:rsid w:val="00057C98"/>
    <w:pPr>
      <w:spacing w:after="0" w:line="240" w:lineRule="auto"/>
    </w:pPr>
  </w:style>
  <w:style w:type="character" w:styleId="CommentReference">
    <w:name w:val="annotation reference"/>
    <w:basedOn w:val="DefaultParagraphFont"/>
    <w:uiPriority w:val="99"/>
    <w:semiHidden/>
    <w:unhideWhenUsed/>
    <w:rsid w:val="00057C98"/>
    <w:rPr>
      <w:sz w:val="16"/>
      <w:szCs w:val="16"/>
    </w:rPr>
  </w:style>
  <w:style w:type="paragraph" w:styleId="CommentText">
    <w:name w:val="annotation text"/>
    <w:basedOn w:val="Normal"/>
    <w:link w:val="CommentTextChar"/>
    <w:uiPriority w:val="99"/>
    <w:unhideWhenUsed/>
    <w:rsid w:val="00057C98"/>
    <w:pPr>
      <w:spacing w:line="240" w:lineRule="auto"/>
    </w:pPr>
    <w:rPr>
      <w:sz w:val="20"/>
      <w:szCs w:val="20"/>
    </w:rPr>
  </w:style>
  <w:style w:type="character" w:customStyle="1" w:styleId="CommentTextChar">
    <w:name w:val="Comment Text Char"/>
    <w:basedOn w:val="DefaultParagraphFont"/>
    <w:link w:val="CommentText"/>
    <w:uiPriority w:val="99"/>
    <w:rsid w:val="00057C98"/>
    <w:rPr>
      <w:sz w:val="20"/>
      <w:szCs w:val="20"/>
    </w:rPr>
  </w:style>
  <w:style w:type="paragraph" w:styleId="CommentSubject">
    <w:name w:val="annotation subject"/>
    <w:basedOn w:val="CommentText"/>
    <w:next w:val="CommentText"/>
    <w:link w:val="CommentSubjectChar"/>
    <w:uiPriority w:val="99"/>
    <w:semiHidden/>
    <w:unhideWhenUsed/>
    <w:rsid w:val="00057C98"/>
    <w:rPr>
      <w:b/>
      <w:bCs/>
    </w:rPr>
  </w:style>
  <w:style w:type="character" w:customStyle="1" w:styleId="CommentSubjectChar">
    <w:name w:val="Comment Subject Char"/>
    <w:basedOn w:val="CommentTextChar"/>
    <w:link w:val="CommentSubject"/>
    <w:uiPriority w:val="99"/>
    <w:semiHidden/>
    <w:rsid w:val="00057C98"/>
    <w:rPr>
      <w:b/>
      <w:bCs/>
      <w:sz w:val="20"/>
      <w:szCs w:val="20"/>
    </w:rPr>
  </w:style>
  <w:style w:type="paragraph" w:customStyle="1" w:styleId="TextDraft">
    <w:name w:val="Text Draft"/>
    <w:basedOn w:val="Normal"/>
    <w:qFormat/>
    <w:rsid w:val="00C33CB0"/>
    <w:pPr>
      <w:numPr>
        <w:numId w:val="10"/>
      </w:numPr>
      <w:spacing w:before="200"/>
      <w:ind w:left="0" w:hanging="357"/>
      <w:jc w:val="both"/>
    </w:pPr>
    <w:rPr>
      <w:rFonts w:ascii="HelveticaNeueLT Std" w:hAnsi="HelveticaNeueLT Std"/>
      <w:kern w:val="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464556">
      <w:bodyDiv w:val="1"/>
      <w:marLeft w:val="0"/>
      <w:marRight w:val="0"/>
      <w:marTop w:val="0"/>
      <w:marBottom w:val="0"/>
      <w:divBdr>
        <w:top w:val="none" w:sz="0" w:space="0" w:color="auto"/>
        <w:left w:val="none" w:sz="0" w:space="0" w:color="auto"/>
        <w:bottom w:val="none" w:sz="0" w:space="0" w:color="auto"/>
        <w:right w:val="none" w:sz="0" w:space="0" w:color="auto"/>
      </w:divBdr>
    </w:div>
    <w:div w:id="521749550">
      <w:bodyDiv w:val="1"/>
      <w:marLeft w:val="0"/>
      <w:marRight w:val="0"/>
      <w:marTop w:val="0"/>
      <w:marBottom w:val="0"/>
      <w:divBdr>
        <w:top w:val="none" w:sz="0" w:space="0" w:color="auto"/>
        <w:left w:val="none" w:sz="0" w:space="0" w:color="auto"/>
        <w:bottom w:val="none" w:sz="0" w:space="0" w:color="auto"/>
        <w:right w:val="none" w:sz="0" w:space="0" w:color="auto"/>
      </w:divBdr>
    </w:div>
    <w:div w:id="598371327">
      <w:bodyDiv w:val="1"/>
      <w:marLeft w:val="0"/>
      <w:marRight w:val="0"/>
      <w:marTop w:val="0"/>
      <w:marBottom w:val="0"/>
      <w:divBdr>
        <w:top w:val="none" w:sz="0" w:space="0" w:color="auto"/>
        <w:left w:val="none" w:sz="0" w:space="0" w:color="auto"/>
        <w:bottom w:val="none" w:sz="0" w:space="0" w:color="auto"/>
        <w:right w:val="none" w:sz="0" w:space="0" w:color="auto"/>
      </w:divBdr>
    </w:div>
    <w:div w:id="623653149">
      <w:bodyDiv w:val="1"/>
      <w:marLeft w:val="0"/>
      <w:marRight w:val="0"/>
      <w:marTop w:val="0"/>
      <w:marBottom w:val="0"/>
      <w:divBdr>
        <w:top w:val="none" w:sz="0" w:space="0" w:color="auto"/>
        <w:left w:val="none" w:sz="0" w:space="0" w:color="auto"/>
        <w:bottom w:val="none" w:sz="0" w:space="0" w:color="auto"/>
        <w:right w:val="none" w:sz="0" w:space="0" w:color="auto"/>
      </w:divBdr>
    </w:div>
    <w:div w:id="660542250">
      <w:bodyDiv w:val="1"/>
      <w:marLeft w:val="0"/>
      <w:marRight w:val="0"/>
      <w:marTop w:val="0"/>
      <w:marBottom w:val="0"/>
      <w:divBdr>
        <w:top w:val="none" w:sz="0" w:space="0" w:color="auto"/>
        <w:left w:val="none" w:sz="0" w:space="0" w:color="auto"/>
        <w:bottom w:val="none" w:sz="0" w:space="0" w:color="auto"/>
        <w:right w:val="none" w:sz="0" w:space="0" w:color="auto"/>
      </w:divBdr>
    </w:div>
    <w:div w:id="1340620135">
      <w:bodyDiv w:val="1"/>
      <w:marLeft w:val="0"/>
      <w:marRight w:val="0"/>
      <w:marTop w:val="0"/>
      <w:marBottom w:val="0"/>
      <w:divBdr>
        <w:top w:val="none" w:sz="0" w:space="0" w:color="auto"/>
        <w:left w:val="none" w:sz="0" w:space="0" w:color="auto"/>
        <w:bottom w:val="none" w:sz="0" w:space="0" w:color="auto"/>
        <w:right w:val="none" w:sz="0" w:space="0" w:color="auto"/>
      </w:divBdr>
    </w:div>
    <w:div w:id="1656685346">
      <w:bodyDiv w:val="1"/>
      <w:marLeft w:val="0"/>
      <w:marRight w:val="0"/>
      <w:marTop w:val="0"/>
      <w:marBottom w:val="0"/>
      <w:divBdr>
        <w:top w:val="none" w:sz="0" w:space="0" w:color="auto"/>
        <w:left w:val="none" w:sz="0" w:space="0" w:color="auto"/>
        <w:bottom w:val="none" w:sz="0" w:space="0" w:color="auto"/>
        <w:right w:val="none" w:sz="0" w:space="0" w:color="auto"/>
      </w:divBdr>
    </w:div>
    <w:div w:id="1766801056">
      <w:bodyDiv w:val="1"/>
      <w:marLeft w:val="0"/>
      <w:marRight w:val="0"/>
      <w:marTop w:val="0"/>
      <w:marBottom w:val="0"/>
      <w:divBdr>
        <w:top w:val="none" w:sz="0" w:space="0" w:color="auto"/>
        <w:left w:val="none" w:sz="0" w:space="0" w:color="auto"/>
        <w:bottom w:val="none" w:sz="0" w:space="0" w:color="auto"/>
        <w:right w:val="none" w:sz="0" w:space="0" w:color="auto"/>
      </w:divBdr>
    </w:div>
    <w:div w:id="1801914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1590</Words>
  <Characters>8745</Characters>
  <Application>Microsoft Office Word</Application>
  <DocSecurity>4</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 Smirnova</dc:creator>
  <cp:keywords/>
  <dc:description/>
  <cp:lastModifiedBy>Braaksma, Simon</cp:lastModifiedBy>
  <cp:revision>2</cp:revision>
  <cp:lastPrinted>2024-01-30T11:03:00Z</cp:lastPrinted>
  <dcterms:created xsi:type="dcterms:W3CDTF">2024-02-02T16:26:00Z</dcterms:created>
  <dcterms:modified xsi:type="dcterms:W3CDTF">2024-02-02T16:26:00Z</dcterms:modified>
</cp:coreProperties>
</file>