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321" w:rsidRPr="005E0321" w:rsidRDefault="005E0321" w:rsidP="005E0321">
      <w:pPr>
        <w:pStyle w:val="Ttulo3"/>
        <w:rPr>
          <w:lang w:val="en-US"/>
        </w:rPr>
      </w:pPr>
      <w:r w:rsidRPr="005E0321">
        <w:rPr>
          <w:lang w:val="en-US"/>
        </w:rPr>
        <w:t>AECA’s contribution to EFRAG’s draft IG1: Materiality Assessment Implementation Guidance (DRAFT)</w:t>
      </w:r>
    </w:p>
    <w:p w:rsidR="00D27734" w:rsidRPr="00D27734" w:rsidRDefault="00D27734" w:rsidP="00D27734">
      <w:pPr>
        <w:spacing w:before="120" w:after="120"/>
        <w:rPr>
          <w:rFonts w:ascii="Calibri" w:eastAsia="Times New Roman" w:hAnsi="Calibri" w:cs="Calibri"/>
          <w:kern w:val="0"/>
          <w:lang w:val="en-US" w:eastAsia="es-ES"/>
        </w:rPr>
      </w:pPr>
      <w:r>
        <w:rPr>
          <w:rFonts w:ascii="Calibri" w:eastAsia="Times New Roman" w:hAnsi="Calibri" w:cs="Calibri"/>
          <w:kern w:val="0"/>
          <w:lang w:val="en-US" w:eastAsia="es-ES"/>
        </w:rPr>
        <w:t>AECA is</w:t>
      </w:r>
      <w:r w:rsidRPr="00D27734">
        <w:rPr>
          <w:rFonts w:ascii="Calibri" w:eastAsia="Times New Roman" w:hAnsi="Calibri" w:cs="Calibri"/>
          <w:kern w:val="0"/>
          <w:lang w:val="en-US" w:eastAsia="es-ES"/>
        </w:rPr>
        <w:t xml:space="preserve"> pleased to contribute to EFRAG’s draft IG1: Materiality Assessment Implementation Guidance (MAIG). We appreciate this draft MAIG for providing guidance on a crucial concept in the European Sustainability Reporting Standards (ESRS).</w:t>
      </w:r>
    </w:p>
    <w:p w:rsidR="00EA5B91" w:rsidRPr="00EA5B91" w:rsidRDefault="00D27734" w:rsidP="00EA5B91">
      <w:pPr>
        <w:spacing w:before="120" w:after="120"/>
        <w:rPr>
          <w:rFonts w:ascii="Calibri" w:eastAsia="Times New Roman" w:hAnsi="Calibri" w:cs="Calibri"/>
          <w:kern w:val="0"/>
          <w:lang w:val="en-US" w:eastAsia="es-ES"/>
        </w:rPr>
      </w:pPr>
      <w:r w:rsidRPr="00D27734">
        <w:rPr>
          <w:rFonts w:ascii="Calibri" w:eastAsia="Times New Roman" w:hAnsi="Calibri" w:cs="Calibri"/>
          <w:kern w:val="0"/>
          <w:lang w:val="en-US" w:eastAsia="es-ES"/>
        </w:rPr>
        <w:t xml:space="preserve">It is acknowledged that EFRAG’s guidance is limited to </w:t>
      </w:r>
      <w:r>
        <w:rPr>
          <w:rFonts w:ascii="Calibri" w:eastAsia="Times New Roman" w:hAnsi="Calibri" w:cs="Calibri"/>
          <w:kern w:val="0"/>
          <w:lang w:val="en-US" w:eastAsia="es-ES"/>
        </w:rPr>
        <w:t>providing</w:t>
      </w:r>
      <w:r w:rsidRPr="00D27734">
        <w:rPr>
          <w:rFonts w:ascii="Calibri" w:eastAsia="Times New Roman" w:hAnsi="Calibri" w:cs="Calibri"/>
          <w:kern w:val="0"/>
          <w:lang w:val="en-US" w:eastAsia="es-ES"/>
        </w:rPr>
        <w:t xml:space="preserve"> clarifications and examples for the ESRS, serving as non-authoritative guidance. </w:t>
      </w:r>
      <w:r w:rsidRPr="00EA5B91">
        <w:rPr>
          <w:rFonts w:ascii="Calibri" w:eastAsia="Times New Roman" w:hAnsi="Calibri" w:cs="Calibri"/>
          <w:kern w:val="0"/>
          <w:lang w:val="en-US" w:eastAsia="es-ES"/>
        </w:rPr>
        <w:t>This inherent limitation informs the nature and scope of our comments outlined below</w:t>
      </w:r>
      <w:r>
        <w:rPr>
          <w:rFonts w:ascii="Calibri" w:eastAsia="Times New Roman" w:hAnsi="Calibri" w:cs="Calibri"/>
          <w:kern w:val="0"/>
          <w:lang w:val="en-US" w:eastAsia="es-ES"/>
        </w:rPr>
        <w:t>.</w:t>
      </w:r>
    </w:p>
    <w:p w:rsidR="00EA5B91" w:rsidRDefault="002A2CD8" w:rsidP="0022361A">
      <w:pPr>
        <w:spacing w:before="120" w:after="120"/>
        <w:rPr>
          <w:rFonts w:ascii="Calibri" w:hAnsi="Calibri" w:cs="Calibri"/>
          <w:b/>
          <w:bCs/>
          <w:lang w:val="en-US"/>
        </w:rPr>
      </w:pPr>
      <w:r>
        <w:rPr>
          <w:rFonts w:ascii="Calibri" w:hAnsi="Calibri" w:cs="Calibri"/>
          <w:b/>
          <w:bCs/>
          <w:lang w:val="en-US"/>
        </w:rPr>
        <w:t>GENERAL COMMENTS</w:t>
      </w:r>
    </w:p>
    <w:p w:rsidR="00914734" w:rsidRPr="00914734" w:rsidRDefault="00914734" w:rsidP="00914734">
      <w:pPr>
        <w:spacing w:before="120" w:after="120"/>
        <w:rPr>
          <w:rFonts w:ascii="Calibri" w:hAnsi="Calibri" w:cs="Calibri"/>
          <w:b/>
          <w:bCs/>
          <w:lang w:val="en-US"/>
        </w:rPr>
      </w:pPr>
      <w:r w:rsidRPr="00914734">
        <w:rPr>
          <w:rFonts w:ascii="Calibri" w:hAnsi="Calibri" w:cs="Calibri"/>
          <w:b/>
          <w:bCs/>
          <w:lang w:val="en-US"/>
        </w:rPr>
        <w:t>Structure</w:t>
      </w:r>
    </w:p>
    <w:p w:rsidR="00AC385D" w:rsidRDefault="00CC5DAC" w:rsidP="00A75733">
      <w:pPr>
        <w:pStyle w:val="TextDraft"/>
        <w:numPr>
          <w:ilvl w:val="0"/>
          <w:numId w:val="0"/>
        </w:numPr>
        <w:rPr>
          <w:rFonts w:ascii="Calibri" w:eastAsia="Times New Roman" w:hAnsi="Calibri" w:cs="Calibri"/>
          <w:sz w:val="22"/>
          <w:szCs w:val="22"/>
          <w:lang w:val="en-US" w:eastAsia="es-ES"/>
        </w:rPr>
      </w:pPr>
      <w:r w:rsidRPr="00CC5DAC">
        <w:rPr>
          <w:rFonts w:ascii="Calibri" w:eastAsia="Times New Roman" w:hAnsi="Calibri" w:cs="Calibri"/>
          <w:sz w:val="22"/>
          <w:szCs w:val="22"/>
          <w:lang w:val="en-US" w:eastAsia="es-ES"/>
        </w:rPr>
        <w:t>We positively welcome the MAIG and appreciate it uses clear language</w:t>
      </w:r>
      <w:r w:rsidR="00266F55">
        <w:rPr>
          <w:rFonts w:ascii="Calibri" w:eastAsia="Times New Roman" w:hAnsi="Calibri" w:cs="Calibri"/>
          <w:sz w:val="22"/>
          <w:szCs w:val="22"/>
          <w:lang w:val="en-US" w:eastAsia="es-ES"/>
        </w:rPr>
        <w:t xml:space="preserve">, </w:t>
      </w:r>
      <w:r w:rsidRPr="00CC5DAC">
        <w:rPr>
          <w:rFonts w:ascii="Calibri" w:eastAsia="Times New Roman" w:hAnsi="Calibri" w:cs="Calibri"/>
          <w:sz w:val="22"/>
          <w:szCs w:val="22"/>
          <w:lang w:val="en-US" w:eastAsia="es-ES"/>
        </w:rPr>
        <w:t>effectively elucidates some key elements on the materiality assessment</w:t>
      </w:r>
      <w:r w:rsidR="00266F55">
        <w:rPr>
          <w:rFonts w:ascii="Calibri" w:eastAsia="Times New Roman" w:hAnsi="Calibri" w:cs="Calibri"/>
          <w:sz w:val="22"/>
          <w:szCs w:val="22"/>
          <w:lang w:val="en-US" w:eastAsia="es-ES"/>
        </w:rPr>
        <w:t xml:space="preserve"> </w:t>
      </w:r>
      <w:r w:rsidR="00F172ED">
        <w:rPr>
          <w:rFonts w:ascii="Calibri" w:eastAsia="Times New Roman" w:hAnsi="Calibri" w:cs="Calibri"/>
          <w:sz w:val="22"/>
          <w:szCs w:val="22"/>
          <w:lang w:val="en-US" w:eastAsia="es-ES"/>
        </w:rPr>
        <w:t>with a well-designed structure</w:t>
      </w:r>
      <w:r>
        <w:rPr>
          <w:rFonts w:ascii="Calibri" w:eastAsia="Times New Roman" w:hAnsi="Calibri" w:cs="Calibri"/>
          <w:sz w:val="22"/>
          <w:szCs w:val="22"/>
          <w:lang w:val="en-US" w:eastAsia="es-ES"/>
        </w:rPr>
        <w:t xml:space="preserve">, providing a roadmap to assist companies in formulating and undertaking this process. </w:t>
      </w:r>
    </w:p>
    <w:p w:rsidR="00A75733" w:rsidRPr="00A75733" w:rsidRDefault="00EF7B56" w:rsidP="00A75733">
      <w:pPr>
        <w:pStyle w:val="TextDraft"/>
        <w:numPr>
          <w:ilvl w:val="0"/>
          <w:numId w:val="0"/>
        </w:numPr>
        <w:rPr>
          <w:rFonts w:ascii="Calibri" w:eastAsia="Times New Roman" w:hAnsi="Calibri" w:cs="Calibri"/>
          <w:sz w:val="22"/>
          <w:szCs w:val="22"/>
          <w:lang w:val="en-US" w:eastAsia="es-ES"/>
        </w:rPr>
      </w:pPr>
      <w:r w:rsidRPr="00EF7B56">
        <w:rPr>
          <w:rFonts w:ascii="Calibri" w:eastAsia="Times New Roman" w:hAnsi="Calibri" w:cs="Calibri"/>
          <w:sz w:val="22"/>
          <w:szCs w:val="22"/>
          <w:lang w:val="en-US" w:eastAsia="es-ES"/>
        </w:rPr>
        <w:t xml:space="preserve">Nonetheless, the understanding of MAIG may present challenges given its considerable size and </w:t>
      </w:r>
      <w:r>
        <w:rPr>
          <w:rFonts w:ascii="Calibri" w:eastAsia="Times New Roman" w:hAnsi="Calibri" w:cs="Calibri"/>
          <w:sz w:val="22"/>
          <w:szCs w:val="22"/>
          <w:lang w:val="en-US" w:eastAsia="es-ES"/>
        </w:rPr>
        <w:t xml:space="preserve">extensive </w:t>
      </w:r>
      <w:r w:rsidRPr="00EF7B56">
        <w:rPr>
          <w:rFonts w:ascii="Calibri" w:eastAsia="Times New Roman" w:hAnsi="Calibri" w:cs="Calibri"/>
          <w:sz w:val="22"/>
          <w:szCs w:val="22"/>
          <w:lang w:val="en-US" w:eastAsia="es-ES"/>
        </w:rPr>
        <w:t xml:space="preserve">dependence on cross-references to both internal and external documents. We recommend </w:t>
      </w:r>
      <w:r w:rsidR="00A75733">
        <w:rPr>
          <w:rFonts w:ascii="Calibri" w:eastAsia="Times New Roman" w:hAnsi="Calibri" w:cs="Calibri"/>
          <w:sz w:val="22"/>
          <w:szCs w:val="22"/>
          <w:lang w:val="en-US" w:eastAsia="es-ES"/>
        </w:rPr>
        <w:t xml:space="preserve">EFRAG to </w:t>
      </w:r>
      <w:r w:rsidRPr="00EF7B56">
        <w:rPr>
          <w:rFonts w:ascii="Calibri" w:eastAsia="Times New Roman" w:hAnsi="Calibri" w:cs="Calibri"/>
          <w:sz w:val="22"/>
          <w:szCs w:val="22"/>
          <w:lang w:val="en-US" w:eastAsia="es-ES"/>
        </w:rPr>
        <w:t xml:space="preserve">consider </w:t>
      </w:r>
      <w:r w:rsidR="0032259F" w:rsidRPr="0032259F">
        <w:rPr>
          <w:rFonts w:ascii="Calibri" w:eastAsia="Times New Roman" w:hAnsi="Calibri" w:cs="Calibri"/>
          <w:sz w:val="22"/>
          <w:szCs w:val="22"/>
          <w:lang w:val="en-US" w:eastAsia="es-ES"/>
        </w:rPr>
        <w:t>adding hyperlinks for internal FAQ</w:t>
      </w:r>
      <w:r w:rsidR="00A75733">
        <w:rPr>
          <w:rFonts w:ascii="Calibri" w:eastAsia="Times New Roman" w:hAnsi="Calibri" w:cs="Calibri"/>
          <w:sz w:val="22"/>
          <w:szCs w:val="22"/>
          <w:lang w:val="en-US" w:eastAsia="es-ES"/>
        </w:rPr>
        <w:t>s</w:t>
      </w:r>
      <w:r>
        <w:rPr>
          <w:rFonts w:ascii="Calibri" w:eastAsia="Times New Roman" w:hAnsi="Calibri" w:cs="Calibri"/>
          <w:sz w:val="22"/>
          <w:szCs w:val="22"/>
          <w:lang w:val="en-US" w:eastAsia="es-ES"/>
        </w:rPr>
        <w:t xml:space="preserve"> and </w:t>
      </w:r>
      <w:r w:rsidR="0032259F" w:rsidRPr="0032259F">
        <w:rPr>
          <w:rFonts w:ascii="Calibri" w:eastAsia="Times New Roman" w:hAnsi="Calibri" w:cs="Calibri"/>
          <w:sz w:val="22"/>
          <w:szCs w:val="22"/>
          <w:lang w:val="en-US" w:eastAsia="es-ES"/>
        </w:rPr>
        <w:t xml:space="preserve">paragraph references </w:t>
      </w:r>
      <w:r>
        <w:rPr>
          <w:rFonts w:ascii="Calibri" w:eastAsia="Times New Roman" w:hAnsi="Calibri" w:cs="Calibri"/>
          <w:sz w:val="22"/>
          <w:szCs w:val="22"/>
          <w:lang w:val="en-US" w:eastAsia="es-ES"/>
        </w:rPr>
        <w:t xml:space="preserve">and for </w:t>
      </w:r>
      <w:r w:rsidR="0032259F" w:rsidRPr="0032259F">
        <w:rPr>
          <w:rFonts w:ascii="Calibri" w:eastAsia="Times New Roman" w:hAnsi="Calibri" w:cs="Calibri"/>
          <w:sz w:val="22"/>
          <w:szCs w:val="22"/>
          <w:lang w:val="en-US" w:eastAsia="es-ES"/>
        </w:rPr>
        <w:t>external references</w:t>
      </w:r>
      <w:r w:rsidR="00E46B01">
        <w:rPr>
          <w:rFonts w:ascii="Calibri" w:eastAsia="Times New Roman" w:hAnsi="Calibri" w:cs="Calibri"/>
          <w:sz w:val="22"/>
          <w:szCs w:val="22"/>
          <w:lang w:val="en-US" w:eastAsia="es-ES"/>
        </w:rPr>
        <w:t xml:space="preserve"> (</w:t>
      </w:r>
      <w:r w:rsidR="00E46B01" w:rsidRPr="00D7771D">
        <w:rPr>
          <w:rFonts w:ascii="Calibri" w:eastAsia="Times New Roman" w:hAnsi="Calibri" w:cs="Calibri"/>
          <w:sz w:val="22"/>
          <w:szCs w:val="22"/>
          <w:lang w:val="en-US" w:eastAsia="es-ES"/>
        </w:rPr>
        <w:t>i.e. Pilar 3 ESG)</w:t>
      </w:r>
      <w:r w:rsidR="003C0C47">
        <w:rPr>
          <w:rFonts w:ascii="Calibri" w:eastAsia="Times New Roman" w:hAnsi="Calibri" w:cs="Calibri"/>
          <w:sz w:val="22"/>
          <w:szCs w:val="22"/>
          <w:lang w:val="en-US" w:eastAsia="es-ES"/>
        </w:rPr>
        <w:t xml:space="preserve">. </w:t>
      </w:r>
      <w:r w:rsidRPr="00EF7B56">
        <w:rPr>
          <w:rFonts w:ascii="Calibri" w:eastAsia="Times New Roman" w:hAnsi="Calibri" w:cs="Calibri"/>
          <w:sz w:val="22"/>
          <w:szCs w:val="22"/>
          <w:lang w:val="en-US" w:eastAsia="es-ES"/>
        </w:rPr>
        <w:t>Additionally</w:t>
      </w:r>
      <w:r w:rsidR="003C0C47">
        <w:rPr>
          <w:rFonts w:ascii="Calibri" w:eastAsia="Times New Roman" w:hAnsi="Calibri" w:cs="Calibri"/>
          <w:sz w:val="22"/>
          <w:szCs w:val="22"/>
          <w:lang w:val="en-US" w:eastAsia="es-ES"/>
        </w:rPr>
        <w:t xml:space="preserve">, </w:t>
      </w:r>
      <w:r w:rsidRPr="00EF7B56">
        <w:rPr>
          <w:rFonts w:ascii="Calibri" w:eastAsia="Times New Roman" w:hAnsi="Calibri" w:cs="Calibri"/>
          <w:sz w:val="22"/>
          <w:szCs w:val="22"/>
          <w:lang w:val="en-US" w:eastAsia="es-ES"/>
        </w:rPr>
        <w:t xml:space="preserve">quoting the relevant </w:t>
      </w:r>
      <w:r w:rsidR="00A75733">
        <w:rPr>
          <w:rFonts w:ascii="Calibri" w:eastAsia="Times New Roman" w:hAnsi="Calibri" w:cs="Calibri"/>
          <w:sz w:val="22"/>
          <w:szCs w:val="22"/>
          <w:lang w:val="en-US" w:eastAsia="es-ES"/>
        </w:rPr>
        <w:t>requirements</w:t>
      </w:r>
      <w:r w:rsidRPr="00EF7B56">
        <w:rPr>
          <w:rFonts w:ascii="Calibri" w:eastAsia="Times New Roman" w:hAnsi="Calibri" w:cs="Calibri"/>
          <w:sz w:val="22"/>
          <w:szCs w:val="22"/>
          <w:lang w:val="en-US" w:eastAsia="es-ES"/>
        </w:rPr>
        <w:t xml:space="preserve"> directly in a distinct format within the guidance</w:t>
      </w:r>
      <w:r w:rsidR="00A75733">
        <w:rPr>
          <w:rFonts w:ascii="Calibri" w:eastAsia="Times New Roman" w:hAnsi="Calibri" w:cs="Calibri"/>
          <w:sz w:val="22"/>
          <w:szCs w:val="22"/>
          <w:lang w:val="en-US" w:eastAsia="es-ES"/>
        </w:rPr>
        <w:t xml:space="preserve">, with cross-references to </w:t>
      </w:r>
      <w:r w:rsidR="00A75733" w:rsidRPr="00EF7B56">
        <w:rPr>
          <w:rFonts w:ascii="Calibri" w:eastAsia="Times New Roman" w:hAnsi="Calibri" w:cs="Calibri"/>
          <w:sz w:val="22"/>
          <w:szCs w:val="22"/>
          <w:lang w:val="en-US" w:eastAsia="es-ES"/>
        </w:rPr>
        <w:t xml:space="preserve">ESRS </w:t>
      </w:r>
      <w:r w:rsidR="00A75733" w:rsidRPr="00A75733">
        <w:rPr>
          <w:rFonts w:ascii="Calibri" w:eastAsia="Times New Roman" w:hAnsi="Calibri" w:cs="Calibri"/>
          <w:sz w:val="22"/>
          <w:szCs w:val="22"/>
          <w:lang w:val="en-US" w:eastAsia="es-ES"/>
        </w:rPr>
        <w:t>rather than paraphrasing</w:t>
      </w:r>
      <w:r w:rsidR="00A75733">
        <w:rPr>
          <w:rFonts w:ascii="Calibri" w:eastAsia="Times New Roman" w:hAnsi="Calibri" w:cs="Calibri"/>
          <w:sz w:val="22"/>
          <w:szCs w:val="22"/>
          <w:lang w:val="en-US" w:eastAsia="es-ES"/>
        </w:rPr>
        <w:t>,</w:t>
      </w:r>
      <w:r w:rsidR="00A75733" w:rsidRPr="00EF7B56">
        <w:rPr>
          <w:rFonts w:ascii="Calibri" w:eastAsia="Times New Roman" w:hAnsi="Calibri" w:cs="Calibri"/>
          <w:sz w:val="22"/>
          <w:szCs w:val="22"/>
          <w:lang w:val="en-US" w:eastAsia="es-ES"/>
        </w:rPr>
        <w:t xml:space="preserve"> </w:t>
      </w:r>
      <w:r w:rsidRPr="00EF7B56">
        <w:rPr>
          <w:rFonts w:ascii="Calibri" w:eastAsia="Times New Roman" w:hAnsi="Calibri" w:cs="Calibri"/>
          <w:sz w:val="22"/>
          <w:szCs w:val="22"/>
          <w:lang w:val="en-US" w:eastAsia="es-ES"/>
        </w:rPr>
        <w:t>could enhance clarity</w:t>
      </w:r>
      <w:r w:rsidR="00A75733">
        <w:rPr>
          <w:rFonts w:ascii="Calibri" w:eastAsia="Times New Roman" w:hAnsi="Calibri" w:cs="Calibri"/>
          <w:sz w:val="22"/>
          <w:szCs w:val="22"/>
          <w:lang w:val="en-US" w:eastAsia="es-ES"/>
        </w:rPr>
        <w:t xml:space="preserve"> of the guidance, allowing to </w:t>
      </w:r>
      <w:r w:rsidR="00A75733" w:rsidRPr="00A75733">
        <w:rPr>
          <w:rFonts w:ascii="Calibri" w:eastAsia="Times New Roman" w:hAnsi="Calibri" w:cs="Calibri"/>
          <w:sz w:val="22"/>
          <w:szCs w:val="22"/>
          <w:lang w:val="en-US" w:eastAsia="es-ES"/>
        </w:rPr>
        <w:t xml:space="preserve">distinguish clearly between the requirements in ESRS and the non-mandatory application guidance. </w:t>
      </w:r>
    </w:p>
    <w:p w:rsidR="003C0C47" w:rsidRDefault="003C0C47" w:rsidP="003C0C47">
      <w:pPr>
        <w:pStyle w:val="TextDraft"/>
        <w:numPr>
          <w:ilvl w:val="0"/>
          <w:numId w:val="0"/>
        </w:numPr>
        <w:rPr>
          <w:rFonts w:ascii="Calibri" w:eastAsia="Times New Roman" w:hAnsi="Calibri" w:cs="Calibri"/>
          <w:sz w:val="22"/>
          <w:szCs w:val="22"/>
          <w:lang w:val="en-US" w:eastAsia="es-ES"/>
        </w:rPr>
      </w:pPr>
      <w:r w:rsidRPr="003C0C47">
        <w:rPr>
          <w:rFonts w:ascii="Calibri" w:eastAsia="Times New Roman" w:hAnsi="Calibri" w:cs="Calibri"/>
          <w:sz w:val="22"/>
          <w:szCs w:val="22"/>
          <w:lang w:val="en-US" w:eastAsia="es-ES"/>
        </w:rPr>
        <w:t xml:space="preserve">Furthermore, </w:t>
      </w:r>
      <w:r w:rsidR="00590903">
        <w:rPr>
          <w:rFonts w:ascii="Calibri" w:eastAsia="Times New Roman" w:hAnsi="Calibri" w:cs="Calibri"/>
          <w:sz w:val="22"/>
          <w:szCs w:val="22"/>
          <w:lang w:val="en-US" w:eastAsia="es-ES"/>
        </w:rPr>
        <w:t xml:space="preserve">users </w:t>
      </w:r>
      <w:r w:rsidRPr="003C0C47">
        <w:rPr>
          <w:rFonts w:ascii="Calibri" w:eastAsia="Times New Roman" w:hAnsi="Calibri" w:cs="Calibri"/>
          <w:sz w:val="22"/>
          <w:szCs w:val="22"/>
          <w:lang w:val="en-US" w:eastAsia="es-ES"/>
        </w:rPr>
        <w:t xml:space="preserve">may encounter challenges in understanding specific terms employed in the MAIG, as these are </w:t>
      </w:r>
      <w:r>
        <w:rPr>
          <w:rFonts w:ascii="Calibri" w:eastAsia="Times New Roman" w:hAnsi="Calibri" w:cs="Calibri"/>
          <w:sz w:val="22"/>
          <w:szCs w:val="22"/>
          <w:lang w:val="en-US" w:eastAsia="es-ES"/>
        </w:rPr>
        <w:t xml:space="preserve">defined </w:t>
      </w:r>
      <w:r w:rsidRPr="003C0C47">
        <w:rPr>
          <w:rFonts w:ascii="Calibri" w:eastAsia="Times New Roman" w:hAnsi="Calibri" w:cs="Calibri"/>
          <w:sz w:val="22"/>
          <w:szCs w:val="22"/>
          <w:lang w:val="en-US" w:eastAsia="es-ES"/>
        </w:rPr>
        <w:t xml:space="preserve">in Annex II of the Delegated Act. We propose incorporating a preliminary note, either within the Disclaimer or Summary sections, directing attention to Annex II and highlighting these terms in bold, mirroring the format </w:t>
      </w:r>
      <w:r>
        <w:rPr>
          <w:rFonts w:ascii="Calibri" w:eastAsia="Times New Roman" w:hAnsi="Calibri" w:cs="Calibri"/>
          <w:sz w:val="22"/>
          <w:szCs w:val="22"/>
          <w:lang w:val="en-US" w:eastAsia="es-ES"/>
        </w:rPr>
        <w:t xml:space="preserve">used </w:t>
      </w:r>
      <w:r w:rsidRPr="003C0C47">
        <w:rPr>
          <w:rFonts w:ascii="Calibri" w:eastAsia="Times New Roman" w:hAnsi="Calibri" w:cs="Calibri"/>
          <w:sz w:val="22"/>
          <w:szCs w:val="22"/>
          <w:lang w:val="en-US" w:eastAsia="es-ES"/>
        </w:rPr>
        <w:t>in the ESRS.</w:t>
      </w:r>
    </w:p>
    <w:p w:rsidR="009B307C" w:rsidRPr="0031207E" w:rsidRDefault="009B307C" w:rsidP="0031207E">
      <w:pPr>
        <w:pStyle w:val="TextDraft"/>
        <w:numPr>
          <w:ilvl w:val="0"/>
          <w:numId w:val="0"/>
        </w:numPr>
        <w:rPr>
          <w:rFonts w:ascii="Calibri" w:eastAsia="Times New Roman" w:hAnsi="Calibri" w:cs="Calibri"/>
          <w:sz w:val="22"/>
          <w:szCs w:val="22"/>
          <w:lang w:val="en-US" w:eastAsia="es-ES"/>
        </w:rPr>
      </w:pPr>
      <w:r w:rsidRPr="0031207E">
        <w:rPr>
          <w:rFonts w:ascii="Calibri" w:eastAsia="Times New Roman" w:hAnsi="Calibri" w:cs="Calibri"/>
          <w:sz w:val="22"/>
          <w:szCs w:val="22"/>
          <w:lang w:val="en-US" w:eastAsia="es-ES"/>
        </w:rPr>
        <w:t>In addition, more illustrative examples would be welcome with regard to demonstrating the application of these guidelines in</w:t>
      </w:r>
      <w:r>
        <w:rPr>
          <w:rFonts w:ascii="Calibri" w:eastAsia="Times New Roman" w:hAnsi="Calibri" w:cs="Calibri"/>
          <w:sz w:val="22"/>
          <w:szCs w:val="22"/>
          <w:lang w:val="en-US" w:eastAsia="es-ES"/>
        </w:rPr>
        <w:t>:</w:t>
      </w:r>
    </w:p>
    <w:p w:rsidR="00590903" w:rsidRDefault="00AC385D" w:rsidP="009B307C">
      <w:pPr>
        <w:pStyle w:val="TextDraft"/>
        <w:numPr>
          <w:ilvl w:val="0"/>
          <w:numId w:val="28"/>
        </w:numPr>
        <w:rPr>
          <w:rFonts w:ascii="Calibri" w:eastAsia="Times New Roman" w:hAnsi="Calibri" w:cs="Calibri"/>
          <w:sz w:val="22"/>
          <w:szCs w:val="22"/>
          <w:lang w:val="en-US" w:eastAsia="es-ES"/>
        </w:rPr>
      </w:pPr>
      <w:r w:rsidRPr="0031207E">
        <w:rPr>
          <w:rFonts w:ascii="Calibri" w:eastAsia="Times New Roman" w:hAnsi="Calibri" w:cs="Calibri"/>
          <w:sz w:val="22"/>
          <w:szCs w:val="22"/>
          <w:lang w:val="en-US" w:eastAsia="es-ES"/>
        </w:rPr>
        <w:t>The assessment of IROs in the value chain, particularly challenging for entities with complex such as financial institutions, and multinational groups, as they have value chains.</w:t>
      </w:r>
    </w:p>
    <w:p w:rsidR="00590903" w:rsidRPr="0031207E" w:rsidRDefault="00590903" w:rsidP="00590903">
      <w:pPr>
        <w:pStyle w:val="TextDraft"/>
        <w:numPr>
          <w:ilvl w:val="0"/>
          <w:numId w:val="28"/>
        </w:numPr>
        <w:rPr>
          <w:rFonts w:ascii="Calibri" w:eastAsia="Times New Roman" w:hAnsi="Calibri" w:cs="Calibri"/>
          <w:sz w:val="22"/>
          <w:szCs w:val="22"/>
          <w:lang w:val="en-US" w:eastAsia="es-ES"/>
        </w:rPr>
      </w:pPr>
      <w:r w:rsidRPr="0031207E">
        <w:rPr>
          <w:rFonts w:ascii="Calibri" w:eastAsia="Times New Roman" w:hAnsi="Calibri" w:cs="Calibri"/>
          <w:sz w:val="22"/>
          <w:szCs w:val="22"/>
          <w:lang w:val="en-US" w:eastAsia="es-ES"/>
        </w:rPr>
        <w:t>Stakeholder engagement</w:t>
      </w:r>
      <w:r>
        <w:rPr>
          <w:rFonts w:ascii="Calibri" w:eastAsia="Times New Roman" w:hAnsi="Calibri" w:cs="Calibri"/>
          <w:sz w:val="22"/>
          <w:szCs w:val="22"/>
          <w:lang w:val="en-US" w:eastAsia="es-ES"/>
        </w:rPr>
        <w:t xml:space="preserve"> (Section 3.5).</w:t>
      </w:r>
    </w:p>
    <w:p w:rsidR="00590903" w:rsidRPr="0031207E" w:rsidRDefault="00590903" w:rsidP="0031207E">
      <w:pPr>
        <w:pStyle w:val="TextDraft"/>
        <w:numPr>
          <w:ilvl w:val="0"/>
          <w:numId w:val="28"/>
        </w:numPr>
        <w:rPr>
          <w:rFonts w:ascii="Calibri" w:eastAsia="Times New Roman" w:hAnsi="Calibri" w:cs="Calibri"/>
          <w:sz w:val="22"/>
          <w:szCs w:val="22"/>
          <w:lang w:val="en-US" w:eastAsia="es-ES"/>
        </w:rPr>
      </w:pPr>
      <w:r w:rsidRPr="0031207E">
        <w:rPr>
          <w:rFonts w:ascii="Calibri" w:eastAsia="Times New Roman" w:hAnsi="Calibri" w:cs="Calibri"/>
          <w:sz w:val="22"/>
          <w:szCs w:val="22"/>
          <w:lang w:val="en-US" w:eastAsia="es-ES"/>
        </w:rPr>
        <w:t>Industry-agnostic examples of standalone financial materiality</w:t>
      </w:r>
      <w:r w:rsidR="0049703B">
        <w:rPr>
          <w:rFonts w:ascii="Calibri" w:eastAsia="Times New Roman" w:hAnsi="Calibri" w:cs="Calibri"/>
          <w:sz w:val="22"/>
          <w:szCs w:val="22"/>
          <w:lang w:val="en-US" w:eastAsia="es-ES"/>
        </w:rPr>
        <w:t xml:space="preserve"> and thresholds</w:t>
      </w:r>
      <w:r w:rsidRPr="0031207E">
        <w:rPr>
          <w:rFonts w:ascii="Calibri" w:eastAsia="Times New Roman" w:hAnsi="Calibri" w:cs="Calibri"/>
          <w:sz w:val="22"/>
          <w:szCs w:val="22"/>
          <w:lang w:val="en-US" w:eastAsia="es-ES"/>
        </w:rPr>
        <w:t>.</w:t>
      </w:r>
    </w:p>
    <w:p w:rsidR="005C7EAF" w:rsidRDefault="00590903" w:rsidP="00D528C4">
      <w:pPr>
        <w:pStyle w:val="TextDraft"/>
        <w:numPr>
          <w:ilvl w:val="0"/>
          <w:numId w:val="28"/>
        </w:numPr>
        <w:rPr>
          <w:rFonts w:ascii="Calibri" w:eastAsia="Times New Roman" w:hAnsi="Calibri" w:cs="Calibri"/>
          <w:sz w:val="22"/>
          <w:szCs w:val="22"/>
          <w:lang w:val="en-US" w:eastAsia="es-ES"/>
        </w:rPr>
      </w:pPr>
      <w:r w:rsidRPr="005C7EAF">
        <w:rPr>
          <w:rFonts w:ascii="Calibri" w:eastAsia="Times New Roman" w:hAnsi="Calibri" w:cs="Calibri"/>
          <w:sz w:val="22"/>
          <w:szCs w:val="22"/>
          <w:lang w:val="en-US" w:eastAsia="es-ES"/>
        </w:rPr>
        <w:t xml:space="preserve">Quantitative scoring assessment of IROs (section 3.6 and FAQ 10) and </w:t>
      </w:r>
      <w:r w:rsidR="009B307C" w:rsidRPr="005C7EAF">
        <w:rPr>
          <w:rFonts w:ascii="Calibri" w:eastAsia="Times New Roman" w:hAnsi="Calibri" w:cs="Calibri"/>
          <w:sz w:val="22"/>
          <w:szCs w:val="22"/>
          <w:lang w:val="en-US" w:eastAsia="es-ES"/>
        </w:rPr>
        <w:t xml:space="preserve">the severity </w:t>
      </w:r>
      <w:r w:rsidR="0049703B">
        <w:rPr>
          <w:rFonts w:ascii="Calibri" w:eastAsia="Times New Roman" w:hAnsi="Calibri" w:cs="Calibri"/>
          <w:sz w:val="22"/>
          <w:szCs w:val="22"/>
          <w:lang w:val="en-US" w:eastAsia="es-ES"/>
        </w:rPr>
        <w:t xml:space="preserve">and likelihood </w:t>
      </w:r>
      <w:r w:rsidR="009B307C" w:rsidRPr="005C7EAF">
        <w:rPr>
          <w:rFonts w:ascii="Calibri" w:eastAsia="Times New Roman" w:hAnsi="Calibri" w:cs="Calibri"/>
          <w:sz w:val="22"/>
          <w:szCs w:val="22"/>
          <w:lang w:val="en-US" w:eastAsia="es-ES"/>
        </w:rPr>
        <w:t>assessment.</w:t>
      </w:r>
    </w:p>
    <w:p w:rsidR="0031207E" w:rsidRPr="005C7EAF" w:rsidRDefault="0031207E" w:rsidP="005C7EAF">
      <w:pPr>
        <w:pStyle w:val="TextDraft"/>
        <w:numPr>
          <w:ilvl w:val="0"/>
          <w:numId w:val="28"/>
        </w:numPr>
        <w:rPr>
          <w:rFonts w:ascii="Calibri" w:eastAsia="Times New Roman" w:hAnsi="Calibri" w:cs="Calibri"/>
          <w:sz w:val="22"/>
          <w:szCs w:val="22"/>
          <w:lang w:val="en-US" w:eastAsia="es-ES"/>
        </w:rPr>
      </w:pPr>
      <w:r w:rsidRPr="005C7EAF">
        <w:rPr>
          <w:rFonts w:ascii="Calibri" w:eastAsia="Times New Roman" w:hAnsi="Calibri" w:cs="Calibri"/>
          <w:sz w:val="22"/>
          <w:szCs w:val="22"/>
          <w:lang w:val="en-US" w:eastAsia="es-ES"/>
        </w:rPr>
        <w:t>Additional</w:t>
      </w:r>
      <w:r w:rsidR="009B307C" w:rsidRPr="005C7EAF">
        <w:rPr>
          <w:rFonts w:ascii="Calibri" w:eastAsia="Times New Roman" w:hAnsi="Calibri" w:cs="Calibri"/>
          <w:sz w:val="22"/>
          <w:szCs w:val="22"/>
          <w:lang w:val="en-US" w:eastAsia="es-ES"/>
        </w:rPr>
        <w:t xml:space="preserve"> </w:t>
      </w:r>
      <w:r w:rsidR="00590903" w:rsidRPr="005C7EAF">
        <w:rPr>
          <w:rFonts w:ascii="Calibri" w:eastAsia="Times New Roman" w:hAnsi="Calibri" w:cs="Calibri"/>
          <w:sz w:val="22"/>
          <w:szCs w:val="22"/>
          <w:lang w:val="en-US" w:eastAsia="es-ES"/>
        </w:rPr>
        <w:t xml:space="preserve">instances </w:t>
      </w:r>
      <w:r w:rsidR="009B307C" w:rsidRPr="005C7EAF">
        <w:rPr>
          <w:rFonts w:ascii="Calibri" w:eastAsia="Times New Roman" w:hAnsi="Calibri" w:cs="Calibri"/>
          <w:sz w:val="22"/>
          <w:szCs w:val="22"/>
          <w:lang w:val="en-US" w:eastAsia="es-ES"/>
        </w:rPr>
        <w:t xml:space="preserve">where further guidance and illustrative examples would be </w:t>
      </w:r>
      <w:r w:rsidRPr="005C7EAF">
        <w:rPr>
          <w:rFonts w:ascii="Calibri" w:eastAsia="Times New Roman" w:hAnsi="Calibri" w:cs="Calibri"/>
          <w:sz w:val="22"/>
          <w:szCs w:val="22"/>
          <w:lang w:val="en-US" w:eastAsia="es-ES"/>
        </w:rPr>
        <w:t>particularly beneficial are specifically highlighted in our response.</w:t>
      </w:r>
    </w:p>
    <w:p w:rsidR="00917022" w:rsidRPr="0031207E" w:rsidRDefault="00FF5AC2" w:rsidP="0031207E">
      <w:pPr>
        <w:pStyle w:val="TextDraft"/>
        <w:numPr>
          <w:ilvl w:val="0"/>
          <w:numId w:val="0"/>
        </w:numPr>
        <w:rPr>
          <w:rFonts w:ascii="Calibri" w:eastAsia="Times New Roman" w:hAnsi="Calibri" w:cs="Calibri"/>
          <w:sz w:val="22"/>
          <w:szCs w:val="22"/>
          <w:lang w:val="en-US" w:eastAsia="es-ES"/>
        </w:rPr>
      </w:pPr>
      <w:r w:rsidRPr="0031207E">
        <w:rPr>
          <w:rFonts w:ascii="Calibri" w:eastAsia="Times New Roman" w:hAnsi="Calibri" w:cs="Calibri"/>
          <w:sz w:val="22"/>
          <w:szCs w:val="22"/>
          <w:lang w:val="en-US" w:eastAsia="es-ES"/>
        </w:rPr>
        <w:t xml:space="preserve">We value the guidance's structure, which incorporates a final section with FAQs to enhance understanding of its key elements. However, we suggest that in future revisions, EFRAG might consider separating clarifications and FAQs. Clarifications could be integrated into the ESRS when is open for revision, while FAQs could be included on the Q&amp;A Platform. </w:t>
      </w:r>
      <w:r w:rsidR="00917022" w:rsidRPr="0031207E">
        <w:rPr>
          <w:rFonts w:ascii="Calibri" w:eastAsia="Times New Roman" w:hAnsi="Calibri" w:cs="Calibri"/>
          <w:sz w:val="22"/>
          <w:szCs w:val="22"/>
          <w:lang w:val="en-US" w:eastAsia="es-ES"/>
        </w:rPr>
        <w:t xml:space="preserve">This approach </w:t>
      </w:r>
      <w:r w:rsidR="00917022" w:rsidRPr="0031207E">
        <w:rPr>
          <w:rFonts w:ascii="Calibri" w:eastAsia="Times New Roman" w:hAnsi="Calibri" w:cs="Calibri"/>
          <w:sz w:val="22"/>
          <w:szCs w:val="22"/>
          <w:lang w:val="en-US" w:eastAsia="es-ES"/>
        </w:rPr>
        <w:lastRenderedPageBreak/>
        <w:t>would eliminate duplications, the necessity for cross-references, and links, thereby facilitating navigation within the ESRS reporting ecosystem.</w:t>
      </w:r>
    </w:p>
    <w:p w:rsidR="00B32125" w:rsidRPr="00914734" w:rsidRDefault="00B32125" w:rsidP="00B32125">
      <w:pPr>
        <w:spacing w:before="120" w:after="120"/>
        <w:rPr>
          <w:rFonts w:ascii="Calibri" w:hAnsi="Calibri" w:cs="Calibri"/>
          <w:b/>
          <w:bCs/>
          <w:lang w:val="en-US"/>
        </w:rPr>
      </w:pPr>
      <w:r>
        <w:rPr>
          <w:rFonts w:ascii="Calibri" w:hAnsi="Calibri" w:cs="Calibri"/>
          <w:b/>
          <w:bCs/>
          <w:lang w:val="en-US"/>
        </w:rPr>
        <w:t>Other general comments</w:t>
      </w:r>
    </w:p>
    <w:p w:rsidR="00B32125" w:rsidRDefault="00B32125" w:rsidP="00B32125">
      <w:pPr>
        <w:pStyle w:val="TextDraft"/>
        <w:numPr>
          <w:ilvl w:val="0"/>
          <w:numId w:val="0"/>
        </w:numPr>
        <w:rPr>
          <w:rFonts w:ascii="Calibri" w:eastAsia="Times New Roman" w:hAnsi="Calibri" w:cs="Calibri"/>
          <w:sz w:val="22"/>
          <w:szCs w:val="22"/>
          <w:lang w:val="en-US" w:eastAsia="es-ES"/>
        </w:rPr>
      </w:pPr>
      <w:r>
        <w:rPr>
          <w:rFonts w:ascii="Segoe UI" w:hAnsi="Segoe UI" w:cs="Segoe UI"/>
          <w:color w:val="374151"/>
        </w:rPr>
        <w:t>We advocate for integrating the evaluation of materiality for sustainability reporting into an entity's existing risks and opportunities management and governance procedures. Consequently, we recommend EFRAG to consider providing clarification in the guidance, emphasizing that the materiality assessment is not a linear, step-by-step process not only conducted for reporting purposes but also for managing sustainability impacts, risks and opportunities.</w:t>
      </w:r>
    </w:p>
    <w:p w:rsidR="00B32125" w:rsidRDefault="00B32125" w:rsidP="00B32125">
      <w:pPr>
        <w:rPr>
          <w:rFonts w:ascii="Calibri" w:hAnsi="Calibri" w:cs="Calibri"/>
          <w:lang w:val="en-US"/>
        </w:rPr>
      </w:pPr>
      <w:r w:rsidRPr="00914734">
        <w:rPr>
          <w:rFonts w:ascii="Calibri" w:hAnsi="Calibri" w:cs="Calibri"/>
          <w:lang w:val="en-US"/>
        </w:rPr>
        <w:t>The MA IG is not intended for use by non-listed small and medium-sized companies (SMEs), which may use the future Voluntary SME standard. It is understood that the materiality assessment to be incorporated into this standard will be a simplified version of the content outlined in this guide. Hence, we recommend emphasizing this point within the Disclaimer section for clarity.</w:t>
      </w:r>
    </w:p>
    <w:p w:rsidR="00B32125" w:rsidRDefault="00B32125" w:rsidP="00B32125">
      <w:pPr>
        <w:pStyle w:val="TextDraft"/>
        <w:numPr>
          <w:ilvl w:val="0"/>
          <w:numId w:val="0"/>
        </w:numPr>
        <w:rPr>
          <w:rFonts w:ascii="Calibri" w:eastAsia="Times New Roman" w:hAnsi="Calibri" w:cs="Calibri"/>
          <w:sz w:val="22"/>
          <w:szCs w:val="22"/>
          <w:lang w:val="en-US" w:eastAsia="es-ES"/>
        </w:rPr>
      </w:pPr>
      <w:r w:rsidRPr="00B32125">
        <w:rPr>
          <w:rFonts w:ascii="Calibri" w:eastAsia="Times New Roman" w:hAnsi="Calibri" w:cs="Calibri"/>
          <w:sz w:val="22"/>
          <w:szCs w:val="22"/>
          <w:lang w:val="en-US" w:eastAsia="es-ES"/>
        </w:rPr>
        <w:t>Ultimately, we recommend that EFRAG collaborates with the ISSB and GRI to ensure alignment in their forthcoming guidance concerning materiality assessment matters.</w:t>
      </w:r>
    </w:p>
    <w:p w:rsidR="00F86232" w:rsidRDefault="00F86232" w:rsidP="0022361A">
      <w:pPr>
        <w:spacing w:before="120" w:after="120"/>
        <w:rPr>
          <w:rFonts w:ascii="Calibri" w:hAnsi="Calibri" w:cs="Calibri"/>
          <w:b/>
          <w:bCs/>
          <w:lang w:val="en-US"/>
        </w:rPr>
      </w:pPr>
      <w:r w:rsidRPr="00412DB9">
        <w:rPr>
          <w:rFonts w:ascii="Calibri" w:hAnsi="Calibri" w:cs="Calibri"/>
          <w:b/>
          <w:bCs/>
          <w:lang w:val="en-US"/>
        </w:rPr>
        <w:t>SUMMARY</w:t>
      </w:r>
    </w:p>
    <w:p w:rsidR="003C5E28" w:rsidRPr="00412DB9" w:rsidRDefault="00EC5239" w:rsidP="0022361A">
      <w:pPr>
        <w:spacing w:before="120" w:after="120"/>
        <w:rPr>
          <w:rFonts w:ascii="Calibri" w:hAnsi="Calibri" w:cs="Calibri"/>
          <w:lang w:val="en-US"/>
        </w:rPr>
      </w:pPr>
      <w:bookmarkStart w:id="0" w:name="_Hlk156210067"/>
      <w:r w:rsidRPr="0036050E">
        <w:rPr>
          <w:rFonts w:ascii="Calibri" w:hAnsi="Calibri" w:cs="Calibri"/>
          <w:b/>
          <w:bCs/>
          <w:lang w:val="en-US"/>
        </w:rPr>
        <w:t xml:space="preserve">Paragraph </w:t>
      </w:r>
      <w:r w:rsidR="00B87B71" w:rsidRPr="0036050E">
        <w:rPr>
          <w:rFonts w:ascii="Calibri" w:hAnsi="Calibri" w:cs="Calibri"/>
          <w:b/>
          <w:bCs/>
          <w:lang w:val="en-US"/>
        </w:rPr>
        <w:t>4</w:t>
      </w:r>
      <w:r w:rsidR="00B87B71" w:rsidRPr="00412DB9">
        <w:rPr>
          <w:rFonts w:ascii="Calibri" w:hAnsi="Calibri" w:cs="Calibri"/>
          <w:lang w:val="en-US"/>
        </w:rPr>
        <w:t>.</w:t>
      </w:r>
      <w:r>
        <w:rPr>
          <w:rFonts w:ascii="Calibri" w:hAnsi="Calibri" w:cs="Calibri"/>
          <w:lang w:val="en-US"/>
        </w:rPr>
        <w:t xml:space="preserve"> </w:t>
      </w:r>
      <w:r w:rsidR="003C5E28" w:rsidRPr="00412DB9">
        <w:rPr>
          <w:rFonts w:ascii="Calibri" w:hAnsi="Calibri" w:cs="Calibri"/>
          <w:lang w:val="en-US"/>
        </w:rPr>
        <w:t xml:space="preserve">The omission </w:t>
      </w:r>
      <w:r w:rsidR="00E8665A" w:rsidRPr="00DC0353">
        <w:rPr>
          <w:rFonts w:ascii="Calibri" w:hAnsi="Calibri" w:cs="Calibri"/>
          <w:lang w:val="en-US"/>
        </w:rPr>
        <w:t>sh</w:t>
      </w:r>
      <w:r w:rsidR="00826701" w:rsidRPr="00DC0353">
        <w:rPr>
          <w:rFonts w:ascii="Calibri" w:hAnsi="Calibri" w:cs="Calibri"/>
          <w:lang w:val="en-US"/>
        </w:rPr>
        <w:t xml:space="preserve">all </w:t>
      </w:r>
      <w:r w:rsidR="00E8665A" w:rsidRPr="00DC0353">
        <w:rPr>
          <w:rFonts w:ascii="Calibri" w:hAnsi="Calibri" w:cs="Calibri"/>
          <w:lang w:val="en-US"/>
        </w:rPr>
        <w:t>be</w:t>
      </w:r>
      <w:r w:rsidR="00E8665A" w:rsidRPr="00E8665A">
        <w:rPr>
          <w:rFonts w:ascii="Calibri" w:hAnsi="Calibri" w:cs="Calibri"/>
          <w:color w:val="FF0000"/>
          <w:lang w:val="en-US"/>
        </w:rPr>
        <w:t xml:space="preserve"> </w:t>
      </w:r>
      <w:r w:rsidR="00E8665A" w:rsidRPr="00E8665A">
        <w:rPr>
          <w:rFonts w:ascii="Calibri" w:hAnsi="Calibri" w:cs="Calibri"/>
          <w:strike/>
          <w:lang w:val="en-US"/>
        </w:rPr>
        <w:t>i</w:t>
      </w:r>
      <w:r w:rsidR="00E8665A">
        <w:rPr>
          <w:rFonts w:ascii="Calibri" w:hAnsi="Calibri" w:cs="Calibri"/>
          <w:lang w:val="en-US"/>
        </w:rPr>
        <w:t xml:space="preserve"> </w:t>
      </w:r>
      <w:r w:rsidR="003C5E28" w:rsidRPr="00412DB9">
        <w:rPr>
          <w:rFonts w:ascii="Calibri" w:hAnsi="Calibri" w:cs="Calibri"/>
          <w:lang w:val="en-US"/>
        </w:rPr>
        <w:t xml:space="preserve">explicit for </w:t>
      </w:r>
      <w:proofErr w:type="spellStart"/>
      <w:r w:rsidR="003C5E28" w:rsidRPr="00412DB9">
        <w:rPr>
          <w:rFonts w:ascii="Calibri" w:hAnsi="Calibri" w:cs="Calibri"/>
          <w:lang w:val="en-US"/>
        </w:rPr>
        <w:t>datapoints</w:t>
      </w:r>
      <w:proofErr w:type="spellEnd"/>
      <w:r w:rsidR="003C5E28" w:rsidRPr="00412DB9">
        <w:rPr>
          <w:rFonts w:ascii="Calibri" w:hAnsi="Calibri" w:cs="Calibri"/>
          <w:lang w:val="en-US"/>
        </w:rPr>
        <w:t xml:space="preserve"> derived from other EU legislation (refer to ESRS 2 Appendix B for the list of these datapoints), and implicit in other cases</w:t>
      </w:r>
      <w:r w:rsidR="00E8665A">
        <w:rPr>
          <w:rFonts w:ascii="Calibri" w:hAnsi="Calibri" w:cs="Calibri"/>
          <w:lang w:val="en-US"/>
        </w:rPr>
        <w:t>.</w:t>
      </w:r>
    </w:p>
    <w:p w:rsidR="00D5565A" w:rsidRPr="004B4C79" w:rsidRDefault="00EC5239" w:rsidP="00E8665A">
      <w:pPr>
        <w:spacing w:before="120" w:after="120"/>
        <w:rPr>
          <w:rFonts w:ascii="Calibri" w:hAnsi="Calibri" w:cs="Calibri"/>
          <w:lang w:val="en-US"/>
        </w:rPr>
      </w:pPr>
      <w:r w:rsidRPr="001943BA">
        <w:rPr>
          <w:rFonts w:ascii="Calibri" w:hAnsi="Calibri" w:cs="Calibri"/>
          <w:b/>
          <w:bCs/>
          <w:lang w:val="en-US"/>
        </w:rPr>
        <w:t xml:space="preserve">Paragraph </w:t>
      </w:r>
      <w:r w:rsidR="00B87B71" w:rsidRPr="001943BA">
        <w:rPr>
          <w:rFonts w:ascii="Calibri" w:hAnsi="Calibri" w:cs="Calibri"/>
          <w:b/>
          <w:bCs/>
          <w:lang w:val="en-US"/>
        </w:rPr>
        <w:t>9</w:t>
      </w:r>
      <w:r w:rsidR="00B87B71" w:rsidRPr="00412DB9">
        <w:rPr>
          <w:rFonts w:ascii="Calibri" w:hAnsi="Calibri" w:cs="Calibri"/>
          <w:lang w:val="en-US"/>
        </w:rPr>
        <w:t>.</w:t>
      </w:r>
      <w:r>
        <w:rPr>
          <w:rFonts w:ascii="Calibri" w:hAnsi="Calibri" w:cs="Calibri"/>
          <w:lang w:val="en-US"/>
        </w:rPr>
        <w:t xml:space="preserve"> </w:t>
      </w:r>
      <w:r w:rsidR="00E8665A" w:rsidRPr="00E8665A">
        <w:rPr>
          <w:rFonts w:ascii="Calibri" w:hAnsi="Calibri" w:cs="Calibri"/>
          <w:lang w:val="en-US"/>
        </w:rPr>
        <w:t xml:space="preserve">We believe that adding a clear statement in the summary, specifying that the </w:t>
      </w:r>
      <w:r w:rsidR="00E8665A" w:rsidRPr="004B4C79">
        <w:rPr>
          <w:rFonts w:ascii="Calibri" w:hAnsi="Calibri" w:cs="Calibri"/>
          <w:lang w:val="en-US"/>
        </w:rPr>
        <w:t>term IMPACT pertains to “impact materiality”, while RISKS and OPPORTUNITIES are associated with “financial materiality”, would be beneficial</w:t>
      </w:r>
      <w:r w:rsidR="001943BA" w:rsidRPr="004B4C79">
        <w:rPr>
          <w:rFonts w:ascii="Calibri" w:hAnsi="Calibri" w:cs="Calibri"/>
          <w:lang w:val="en-US"/>
        </w:rPr>
        <w:t>.</w:t>
      </w:r>
    </w:p>
    <w:p w:rsidR="00532687" w:rsidRPr="004B4C79" w:rsidRDefault="00EC5239" w:rsidP="00532687">
      <w:pPr>
        <w:rPr>
          <w:rFonts w:ascii="Calibri" w:hAnsi="Calibri" w:cs="Calibri"/>
          <w:lang w:val="en-US"/>
        </w:rPr>
      </w:pPr>
      <w:r w:rsidRPr="004B4C79">
        <w:rPr>
          <w:rFonts w:ascii="Calibri" w:hAnsi="Calibri" w:cs="Calibri"/>
          <w:lang w:val="en-US"/>
        </w:rPr>
        <w:t xml:space="preserve">Paragraph </w:t>
      </w:r>
      <w:r w:rsidR="00532687" w:rsidRPr="004B4C79">
        <w:rPr>
          <w:rFonts w:ascii="Calibri" w:hAnsi="Calibri" w:cs="Calibri"/>
          <w:lang w:val="en-US"/>
        </w:rPr>
        <w:t>12. ISSB Standard</w:t>
      </w:r>
      <w:r w:rsidRPr="004B4C79">
        <w:rPr>
          <w:rFonts w:ascii="Calibri" w:hAnsi="Calibri" w:cs="Calibri"/>
          <w:lang w:val="en-US"/>
        </w:rPr>
        <w:t xml:space="preserve"> / </w:t>
      </w:r>
      <w:r w:rsidR="00532687" w:rsidRPr="004B4C79">
        <w:rPr>
          <w:rFonts w:ascii="Calibri" w:hAnsi="Calibri" w:cs="Calibri"/>
          <w:lang w:val="en-US"/>
        </w:rPr>
        <w:t>“also specifically on this topic” – redundant, it is not necessary</w:t>
      </w:r>
      <w:r w:rsidR="001943BA" w:rsidRPr="004B4C79">
        <w:rPr>
          <w:rFonts w:ascii="Calibri" w:hAnsi="Calibri" w:cs="Calibri"/>
          <w:lang w:val="en-US"/>
        </w:rPr>
        <w:t>.</w:t>
      </w:r>
    </w:p>
    <w:p w:rsidR="00B87B71" w:rsidRPr="004B4C79" w:rsidRDefault="00D5565A" w:rsidP="0022361A">
      <w:pPr>
        <w:spacing w:before="120" w:after="120"/>
        <w:rPr>
          <w:rFonts w:ascii="Calibri" w:hAnsi="Calibri" w:cs="Calibri"/>
          <w:b/>
          <w:bCs/>
          <w:lang w:val="en-US"/>
        </w:rPr>
      </w:pPr>
      <w:bookmarkStart w:id="1" w:name="_Hlk155868589"/>
      <w:bookmarkEnd w:id="0"/>
      <w:r w:rsidRPr="004B4C79">
        <w:rPr>
          <w:rFonts w:ascii="Calibri" w:hAnsi="Calibri" w:cs="Calibri"/>
          <w:b/>
          <w:bCs/>
          <w:lang w:val="en-US"/>
        </w:rPr>
        <w:t>CHAP</w:t>
      </w:r>
      <w:r w:rsidR="004D18E4" w:rsidRPr="004B4C79">
        <w:rPr>
          <w:rFonts w:ascii="Calibri" w:hAnsi="Calibri" w:cs="Calibri"/>
          <w:b/>
          <w:bCs/>
          <w:lang w:val="en-US"/>
        </w:rPr>
        <w:t>TER</w:t>
      </w:r>
      <w:r w:rsidR="005E0321">
        <w:rPr>
          <w:rFonts w:ascii="Calibri" w:hAnsi="Calibri" w:cs="Calibri"/>
          <w:b/>
          <w:bCs/>
          <w:lang w:val="en-US"/>
        </w:rPr>
        <w:t xml:space="preserve"> </w:t>
      </w:r>
      <w:r w:rsidR="004D18E4" w:rsidRPr="004B4C79">
        <w:rPr>
          <w:rFonts w:ascii="Calibri" w:hAnsi="Calibri" w:cs="Calibri"/>
          <w:b/>
          <w:bCs/>
          <w:lang w:val="en-US"/>
        </w:rPr>
        <w:t xml:space="preserve">1: </w:t>
      </w:r>
      <w:r w:rsidR="00B87B71" w:rsidRPr="004B4C79">
        <w:rPr>
          <w:rFonts w:ascii="Calibri" w:hAnsi="Calibri" w:cs="Calibri"/>
          <w:b/>
          <w:bCs/>
          <w:lang w:val="en-US"/>
        </w:rPr>
        <w:t>INTRODUCTION</w:t>
      </w:r>
    </w:p>
    <w:p w:rsidR="009B0544" w:rsidRPr="004B4C79" w:rsidRDefault="00EC5239" w:rsidP="00EC5239">
      <w:pPr>
        <w:spacing w:before="120" w:after="120"/>
        <w:rPr>
          <w:rFonts w:ascii="Calibri" w:hAnsi="Calibri" w:cs="Calibri"/>
          <w:lang w:val="en-US"/>
        </w:rPr>
      </w:pPr>
      <w:r w:rsidRPr="004B4C79">
        <w:rPr>
          <w:rFonts w:ascii="Calibri" w:hAnsi="Calibri" w:cs="Calibri"/>
          <w:b/>
          <w:bCs/>
          <w:lang w:val="en-US"/>
        </w:rPr>
        <w:t xml:space="preserve">Paragraph </w:t>
      </w:r>
      <w:r w:rsidR="00776071" w:rsidRPr="004B4C79">
        <w:rPr>
          <w:rFonts w:ascii="Calibri" w:hAnsi="Calibri" w:cs="Calibri"/>
          <w:b/>
          <w:bCs/>
          <w:lang w:val="en-US"/>
        </w:rPr>
        <w:t>22</w:t>
      </w:r>
      <w:r w:rsidR="00776071" w:rsidRPr="004B4C79">
        <w:rPr>
          <w:rFonts w:ascii="Calibri" w:hAnsi="Calibri" w:cs="Calibri"/>
          <w:lang w:val="en-US"/>
        </w:rPr>
        <w:t xml:space="preserve">. </w:t>
      </w:r>
      <w:r w:rsidR="00954788" w:rsidRPr="004B4C79">
        <w:rPr>
          <w:rFonts w:ascii="Calibri" w:hAnsi="Calibri" w:cs="Calibri"/>
          <w:lang w:val="en-US"/>
        </w:rPr>
        <w:t xml:space="preserve">The following acronyms </w:t>
      </w:r>
      <w:r w:rsidR="009B0544" w:rsidRPr="004B4C79">
        <w:rPr>
          <w:rFonts w:ascii="Calibri" w:hAnsi="Calibri" w:cs="Calibri"/>
          <w:lang w:val="en-US"/>
        </w:rPr>
        <w:t>have been omitted</w:t>
      </w:r>
      <w:r w:rsidR="00954788" w:rsidRPr="004B4C79">
        <w:rPr>
          <w:rFonts w:ascii="Calibri" w:hAnsi="Calibri" w:cs="Calibri"/>
          <w:lang w:val="en-US"/>
        </w:rPr>
        <w:t>: VC</w:t>
      </w:r>
      <w:r w:rsidR="009B0544" w:rsidRPr="004B4C79">
        <w:rPr>
          <w:rFonts w:ascii="Calibri" w:hAnsi="Calibri" w:cs="Calibri"/>
          <w:lang w:val="en-US"/>
        </w:rPr>
        <w:t>,</w:t>
      </w:r>
      <w:r w:rsidR="00954788" w:rsidRPr="004B4C79">
        <w:rPr>
          <w:rFonts w:ascii="Calibri" w:hAnsi="Calibri" w:cs="Calibri"/>
          <w:lang w:val="en-US"/>
        </w:rPr>
        <w:t xml:space="preserve"> VCIG</w:t>
      </w:r>
      <w:r w:rsidR="009B0544" w:rsidRPr="004B4C79">
        <w:rPr>
          <w:rFonts w:ascii="Calibri" w:hAnsi="Calibri" w:cs="Calibri"/>
          <w:lang w:val="en-US"/>
        </w:rPr>
        <w:t xml:space="preserve"> and SASB.</w:t>
      </w:r>
    </w:p>
    <w:p w:rsidR="00B87B71" w:rsidRDefault="004D18E4" w:rsidP="00EC5239">
      <w:pPr>
        <w:spacing w:before="120" w:after="120"/>
        <w:rPr>
          <w:rFonts w:ascii="Calibri" w:hAnsi="Calibri" w:cs="Calibri"/>
          <w:b/>
          <w:bCs/>
          <w:lang w:val="en-US"/>
        </w:rPr>
      </w:pPr>
      <w:r w:rsidRPr="004B4C79">
        <w:rPr>
          <w:rFonts w:ascii="Calibri" w:hAnsi="Calibri" w:cs="Calibri"/>
          <w:b/>
          <w:bCs/>
          <w:lang w:val="en-US"/>
        </w:rPr>
        <w:t>CHAPTER 2:</w:t>
      </w:r>
      <w:r w:rsidR="0022361A" w:rsidRPr="004B4C79">
        <w:rPr>
          <w:rFonts w:ascii="Calibri" w:hAnsi="Calibri" w:cs="Calibri"/>
          <w:b/>
          <w:bCs/>
          <w:lang w:val="en-US"/>
        </w:rPr>
        <w:t xml:space="preserve"> The ESRS approach to materiality</w:t>
      </w:r>
    </w:p>
    <w:p w:rsidR="00532687" w:rsidRPr="00DC0353" w:rsidRDefault="00EC5239" w:rsidP="00EC5239">
      <w:pPr>
        <w:spacing w:before="120" w:after="120"/>
        <w:rPr>
          <w:rFonts w:ascii="Calibri" w:hAnsi="Calibri" w:cs="Calibri"/>
          <w:lang w:val="en-US"/>
        </w:rPr>
      </w:pPr>
      <w:r w:rsidRPr="004B4C79">
        <w:rPr>
          <w:rFonts w:ascii="Calibri" w:hAnsi="Calibri" w:cs="Calibri"/>
          <w:b/>
          <w:bCs/>
          <w:lang w:val="en-US"/>
        </w:rPr>
        <w:t xml:space="preserve">Paragraph </w:t>
      </w:r>
      <w:r w:rsidR="00532687" w:rsidRPr="004B4C79">
        <w:rPr>
          <w:rFonts w:ascii="Calibri" w:hAnsi="Calibri" w:cs="Calibri"/>
          <w:b/>
          <w:bCs/>
          <w:lang w:val="en-US"/>
        </w:rPr>
        <w:t>24</w:t>
      </w:r>
      <w:r w:rsidR="00532687" w:rsidRPr="004B4C79">
        <w:rPr>
          <w:rFonts w:ascii="Calibri" w:hAnsi="Calibri" w:cs="Calibri"/>
          <w:lang w:val="en-US"/>
        </w:rPr>
        <w:t xml:space="preserve">. </w:t>
      </w:r>
      <w:r w:rsidR="009B0544" w:rsidRPr="004B4C79">
        <w:rPr>
          <w:rFonts w:ascii="Calibri" w:hAnsi="Calibri" w:cs="Calibri"/>
          <w:lang w:val="en-US"/>
        </w:rPr>
        <w:t>We</w:t>
      </w:r>
      <w:r w:rsidR="00532687" w:rsidRPr="004B4C79">
        <w:rPr>
          <w:rFonts w:ascii="Calibri" w:hAnsi="Calibri" w:cs="Calibri"/>
          <w:lang w:val="en-US"/>
        </w:rPr>
        <w:t xml:space="preserve"> believe </w:t>
      </w:r>
      <w:r w:rsidR="009B0544" w:rsidRPr="004B4C79">
        <w:rPr>
          <w:rFonts w:ascii="Calibri" w:hAnsi="Calibri" w:cs="Calibri"/>
          <w:lang w:val="en-US"/>
        </w:rPr>
        <w:t xml:space="preserve">that </w:t>
      </w:r>
      <w:r w:rsidR="00532687" w:rsidRPr="004B4C79">
        <w:rPr>
          <w:rFonts w:ascii="Calibri" w:hAnsi="Calibri" w:cs="Calibri"/>
          <w:lang w:val="en-US"/>
        </w:rPr>
        <w:t>this</w:t>
      </w:r>
      <w:r w:rsidR="009B0544" w:rsidRPr="004B4C79">
        <w:rPr>
          <w:rFonts w:ascii="Calibri" w:hAnsi="Calibri" w:cs="Calibri"/>
          <w:lang w:val="en-US"/>
        </w:rPr>
        <w:t xml:space="preserve"> </w:t>
      </w:r>
      <w:r w:rsidR="00532687" w:rsidRPr="004B4C79">
        <w:rPr>
          <w:rFonts w:ascii="Calibri" w:hAnsi="Calibri" w:cs="Calibri"/>
          <w:lang w:val="en-US"/>
        </w:rPr>
        <w:t>sentence should be completed “</w:t>
      </w:r>
      <w:r w:rsidR="009B0544" w:rsidRPr="004B4C79">
        <w:rPr>
          <w:rFonts w:ascii="Calibri" w:hAnsi="Calibri" w:cs="Calibri"/>
          <w:lang w:val="en-US"/>
        </w:rPr>
        <w:t xml:space="preserve">(…) </w:t>
      </w:r>
      <w:r w:rsidR="00532687" w:rsidRPr="004B4C79">
        <w:rPr>
          <w:rFonts w:ascii="Calibri" w:hAnsi="Calibri" w:cs="Calibri"/>
          <w:lang w:val="en-US"/>
        </w:rPr>
        <w:t>financial materiality pertains to the material information about risks and opportunities related to a sustainability matter</w:t>
      </w:r>
      <w:r w:rsidR="009B0544" w:rsidRPr="004B4C79">
        <w:rPr>
          <w:rFonts w:ascii="Calibri" w:hAnsi="Calibri" w:cs="Calibri"/>
          <w:lang w:val="en-US"/>
        </w:rPr>
        <w:t xml:space="preserve"> </w:t>
      </w:r>
      <w:r w:rsidR="00532687" w:rsidRPr="00DC0353">
        <w:rPr>
          <w:rFonts w:ascii="Calibri" w:hAnsi="Calibri" w:cs="Calibri"/>
          <w:lang w:val="en-US"/>
        </w:rPr>
        <w:t>that could significantly affect the undertaking’s financial conditions or performance in the short, medium, or long term”.</w:t>
      </w:r>
    </w:p>
    <w:p w:rsidR="009B0544" w:rsidRPr="004B4C79" w:rsidRDefault="00323A1F" w:rsidP="001D5C24">
      <w:pPr>
        <w:spacing w:before="120" w:after="120"/>
        <w:rPr>
          <w:rFonts w:ascii="Calibri" w:hAnsi="Calibri" w:cs="Calibri"/>
          <w:lang w:val="en-US"/>
        </w:rPr>
      </w:pPr>
      <w:proofErr w:type="gramStart"/>
      <w:r w:rsidRPr="004B4C79">
        <w:rPr>
          <w:rFonts w:ascii="Calibri" w:hAnsi="Calibri" w:cs="Calibri"/>
          <w:b/>
          <w:bCs/>
          <w:lang w:val="en-US"/>
        </w:rPr>
        <w:t>Paragraph 25</w:t>
      </w:r>
      <w:r w:rsidR="009B0544" w:rsidRPr="004B4C79">
        <w:rPr>
          <w:rFonts w:ascii="Calibri" w:hAnsi="Calibri" w:cs="Calibri"/>
          <w:lang w:val="en-US"/>
        </w:rPr>
        <w:t>.</w:t>
      </w:r>
      <w:proofErr w:type="gramEnd"/>
      <w:r w:rsidR="009B0544" w:rsidRPr="004B4C79">
        <w:rPr>
          <w:rFonts w:ascii="Calibri" w:hAnsi="Calibri" w:cs="Calibri"/>
          <w:lang w:val="en-US"/>
        </w:rPr>
        <w:t xml:space="preserve"> We </w:t>
      </w:r>
      <w:r w:rsidR="001D5C24" w:rsidRPr="004B4C79">
        <w:rPr>
          <w:rFonts w:ascii="Calibri" w:hAnsi="Calibri" w:cs="Calibri"/>
          <w:lang w:val="en-US"/>
        </w:rPr>
        <w:t>propose</w:t>
      </w:r>
      <w:r w:rsidR="009B0544" w:rsidRPr="004B4C79">
        <w:rPr>
          <w:rFonts w:ascii="Calibri" w:hAnsi="Calibri" w:cs="Calibri"/>
          <w:lang w:val="en-US"/>
        </w:rPr>
        <w:t xml:space="preserve"> mentioning </w:t>
      </w:r>
      <w:r w:rsidR="009B0544" w:rsidRPr="00DC0353">
        <w:rPr>
          <w:rFonts w:ascii="Calibri" w:hAnsi="Calibri" w:cs="Calibri"/>
          <w:lang w:val="en-US"/>
        </w:rPr>
        <w:t>"except for those included in ESRS 2 that are not subject to materiality assessment as stated in paragraph 4"</w:t>
      </w:r>
      <w:r w:rsidR="009B0544" w:rsidRPr="004B4C79">
        <w:rPr>
          <w:rFonts w:ascii="Calibri" w:hAnsi="Calibri" w:cs="Calibri"/>
          <w:color w:val="FF0000"/>
          <w:lang w:val="en-US"/>
        </w:rPr>
        <w:t xml:space="preserve"> </w:t>
      </w:r>
      <w:r w:rsidR="009B0544" w:rsidRPr="004B4C79">
        <w:rPr>
          <w:rFonts w:ascii="Calibri" w:hAnsi="Calibri" w:cs="Calibri"/>
          <w:lang w:val="en-US"/>
        </w:rPr>
        <w:t>to clarify once again tha</w:t>
      </w:r>
      <w:r w:rsidR="001D5C24" w:rsidRPr="004B4C79">
        <w:rPr>
          <w:rFonts w:ascii="Calibri" w:hAnsi="Calibri" w:cs="Calibri"/>
          <w:lang w:val="en-US"/>
        </w:rPr>
        <w:t>t</w:t>
      </w:r>
      <w:r w:rsidR="009B0544" w:rsidRPr="004B4C79">
        <w:rPr>
          <w:rFonts w:ascii="Calibri" w:hAnsi="Calibri" w:cs="Calibri"/>
          <w:lang w:val="en-US"/>
        </w:rPr>
        <w:t xml:space="preserve"> the requirements outlined in ESRS 2 must be reported without exception, as they fall outside this materiality analysis requirement.</w:t>
      </w:r>
    </w:p>
    <w:p w:rsidR="0036050E" w:rsidRPr="004B4C79" w:rsidRDefault="0032259F" w:rsidP="0036050E">
      <w:pPr>
        <w:spacing w:line="256" w:lineRule="auto"/>
        <w:jc w:val="both"/>
        <w:rPr>
          <w:rFonts w:ascii="Calibri" w:hAnsi="Calibri" w:cs="Calibri"/>
          <w:lang w:val="en-US"/>
        </w:rPr>
      </w:pPr>
      <w:r w:rsidRPr="004B4C79">
        <w:rPr>
          <w:rFonts w:ascii="Calibri" w:hAnsi="Calibri" w:cs="Calibri"/>
          <w:b/>
          <w:bCs/>
          <w:lang w:val="en-US"/>
        </w:rPr>
        <w:t>Paragraph 35</w:t>
      </w:r>
      <w:r w:rsidRPr="004B4C79">
        <w:rPr>
          <w:rFonts w:ascii="Calibri" w:hAnsi="Calibri" w:cs="Calibri"/>
          <w:lang w:val="en-US"/>
        </w:rPr>
        <w:t xml:space="preserve">. </w:t>
      </w:r>
      <w:r w:rsidR="008F1109" w:rsidRPr="004B4C79">
        <w:rPr>
          <w:rFonts w:ascii="Calibri" w:hAnsi="Calibri" w:cs="Calibri"/>
          <w:lang w:val="en-US"/>
        </w:rPr>
        <w:t xml:space="preserve">The figure 1a) is unclear for practitioners. </w:t>
      </w:r>
      <w:r w:rsidR="0036050E" w:rsidRPr="004B4C79">
        <w:rPr>
          <w:rFonts w:ascii="Calibri" w:hAnsi="Calibri" w:cs="Calibri"/>
          <w:lang w:val="en-US"/>
        </w:rPr>
        <w:t xml:space="preserve">Therefore, we recommend that EFRAG includes examples of standalone impact materiality matters and standalone financial materiality matters in the context of sustainability disclosure. </w:t>
      </w:r>
    </w:p>
    <w:p w:rsidR="0036050E" w:rsidRDefault="0036050E" w:rsidP="0036050E">
      <w:pPr>
        <w:spacing w:line="256" w:lineRule="auto"/>
        <w:jc w:val="both"/>
        <w:rPr>
          <w:rFonts w:ascii="Calibri" w:hAnsi="Calibri" w:cs="Calibri"/>
          <w:lang w:val="en-US"/>
        </w:rPr>
      </w:pPr>
      <w:r w:rsidRPr="004B4C79">
        <w:rPr>
          <w:rFonts w:ascii="Calibri" w:hAnsi="Calibri" w:cs="Calibri"/>
          <w:lang w:val="en-US"/>
        </w:rPr>
        <w:t>In addition, the lack of introductory text accompanying the figure 1b) makes it challenging to understand the key insights of the chart. Moreover, the arrows in the chart are not clearly aligned with the legend, further impeding easy comprehension.</w:t>
      </w:r>
    </w:p>
    <w:p w:rsidR="00776759" w:rsidRPr="005C1C7A" w:rsidRDefault="00776759" w:rsidP="005C1C7A">
      <w:pPr>
        <w:spacing w:before="120" w:after="120"/>
        <w:rPr>
          <w:rFonts w:ascii="Calibri" w:hAnsi="Calibri" w:cs="Calibri"/>
          <w:lang w:val="en-GB"/>
        </w:rPr>
      </w:pPr>
      <w:r w:rsidRPr="00AB2EA3">
        <w:rPr>
          <w:rFonts w:ascii="Calibri" w:hAnsi="Calibri" w:cs="Calibri"/>
          <w:b/>
          <w:bCs/>
          <w:lang w:val="en-US"/>
        </w:rPr>
        <w:lastRenderedPageBreak/>
        <w:t>Paragraph 4</w:t>
      </w:r>
      <w:r>
        <w:rPr>
          <w:rFonts w:ascii="Calibri" w:hAnsi="Calibri" w:cs="Calibri"/>
          <w:b/>
          <w:bCs/>
          <w:lang w:val="en-US"/>
        </w:rPr>
        <w:t xml:space="preserve">6. </w:t>
      </w:r>
      <w:r>
        <w:rPr>
          <w:rFonts w:ascii="Calibri" w:hAnsi="Calibri" w:cs="Calibri"/>
          <w:lang w:val="en-US"/>
        </w:rPr>
        <w:t>T</w:t>
      </w:r>
      <w:r w:rsidRPr="005C1C7A">
        <w:rPr>
          <w:lang w:val="en-US"/>
        </w:rPr>
        <w:t xml:space="preserve">he examples in paragraph 46 regarding </w:t>
      </w:r>
      <w:r>
        <w:rPr>
          <w:lang w:val="en-US"/>
        </w:rPr>
        <w:t xml:space="preserve">the </w:t>
      </w:r>
      <w:r w:rsidRPr="005C1C7A">
        <w:rPr>
          <w:lang w:val="en-US"/>
        </w:rPr>
        <w:t xml:space="preserve">“harmful chemical substances” </w:t>
      </w:r>
      <w:r>
        <w:rPr>
          <w:lang w:val="en-US"/>
        </w:rPr>
        <w:t xml:space="preserve">and </w:t>
      </w:r>
      <w:r w:rsidRPr="005C1C7A">
        <w:rPr>
          <w:lang w:val="en-US"/>
        </w:rPr>
        <w:t>“pollution of water” stop at the level of the disclosure requirement</w:t>
      </w:r>
      <w:r>
        <w:rPr>
          <w:lang w:val="en-US"/>
        </w:rPr>
        <w:t xml:space="preserve"> and don’t go down to the level of datapoint. Therefore, we suggest including more guidance and examples related to </w:t>
      </w:r>
      <w:r w:rsidRPr="005C1C7A">
        <w:rPr>
          <w:lang w:val="en-US"/>
        </w:rPr>
        <w:t>the materiality of datapoints</w:t>
      </w:r>
      <w:r w:rsidRPr="000835BE">
        <w:rPr>
          <w:lang w:val="en-US"/>
        </w:rPr>
        <w:t xml:space="preserve"> in each disclosure requirement</w:t>
      </w:r>
      <w:r>
        <w:rPr>
          <w:lang w:val="en-US"/>
        </w:rPr>
        <w:t xml:space="preserve">. </w:t>
      </w:r>
    </w:p>
    <w:p w:rsidR="00AB2EA3" w:rsidRPr="00AB2EA3" w:rsidRDefault="00323A1F" w:rsidP="00AB2EA3">
      <w:pPr>
        <w:spacing w:line="256" w:lineRule="auto"/>
        <w:jc w:val="both"/>
        <w:rPr>
          <w:rFonts w:ascii="Calibri" w:hAnsi="Calibri" w:cs="Calibri"/>
          <w:lang w:val="en-US"/>
        </w:rPr>
      </w:pPr>
      <w:r w:rsidRPr="00AB2EA3">
        <w:rPr>
          <w:rFonts w:ascii="Calibri" w:hAnsi="Calibri" w:cs="Calibri"/>
          <w:b/>
          <w:bCs/>
          <w:lang w:val="en-US"/>
        </w:rPr>
        <w:t>Paragraph 47</w:t>
      </w:r>
      <w:r w:rsidR="00696DB3" w:rsidRPr="00AB2EA3">
        <w:rPr>
          <w:rFonts w:ascii="Calibri" w:hAnsi="Calibri" w:cs="Calibri"/>
          <w:lang w:val="en-US"/>
        </w:rPr>
        <w:t>.</w:t>
      </w:r>
      <w:r w:rsidRPr="00AB2EA3">
        <w:rPr>
          <w:rFonts w:ascii="Calibri" w:hAnsi="Calibri" w:cs="Calibri"/>
          <w:lang w:val="en-US"/>
        </w:rPr>
        <w:t xml:space="preserve"> </w:t>
      </w:r>
      <w:r w:rsidR="00AB2EA3" w:rsidRPr="00AB2EA3">
        <w:rPr>
          <w:rFonts w:ascii="Calibri" w:hAnsi="Calibri" w:cs="Calibri"/>
          <w:lang w:val="en-US"/>
        </w:rPr>
        <w:t>We suggest EFRAG clarifies the concept of “sufficient granularity” including additional guidance or illustrative examples.</w:t>
      </w:r>
    </w:p>
    <w:p w:rsidR="0022361A" w:rsidRPr="005C1C7A" w:rsidRDefault="005E0321" w:rsidP="0022361A">
      <w:pPr>
        <w:spacing w:before="120" w:after="120"/>
        <w:rPr>
          <w:rFonts w:ascii="Calibri" w:hAnsi="Calibri" w:cs="Calibri"/>
          <w:b/>
          <w:bCs/>
          <w:lang w:val="en-US"/>
        </w:rPr>
      </w:pPr>
      <w:r w:rsidRPr="005C1C7A">
        <w:rPr>
          <w:rFonts w:ascii="Calibri" w:hAnsi="Calibri" w:cs="Calibri"/>
          <w:b/>
          <w:bCs/>
          <w:lang w:val="en-US"/>
        </w:rPr>
        <w:t xml:space="preserve">CHAPTER </w:t>
      </w:r>
      <w:r w:rsidR="0022361A" w:rsidRPr="005C1C7A">
        <w:rPr>
          <w:rFonts w:ascii="Calibri" w:hAnsi="Calibri" w:cs="Calibri"/>
          <w:b/>
          <w:bCs/>
          <w:lang w:val="en-US"/>
        </w:rPr>
        <w:t>3: How is the materiality assessment performed?</w:t>
      </w:r>
    </w:p>
    <w:p w:rsidR="00776759" w:rsidRDefault="005E0321" w:rsidP="00776759">
      <w:pPr>
        <w:spacing w:before="120" w:after="120"/>
        <w:rPr>
          <w:rFonts w:ascii="Calibri" w:hAnsi="Calibri" w:cs="Calibri"/>
          <w:lang w:val="en-US"/>
        </w:rPr>
      </w:pPr>
      <w:r w:rsidRPr="005C1C7A">
        <w:rPr>
          <w:rFonts w:ascii="Calibri" w:hAnsi="Calibri" w:cs="Calibri"/>
          <w:b/>
          <w:bCs/>
          <w:lang w:val="en-US"/>
        </w:rPr>
        <w:t>Paragraph 97</w:t>
      </w:r>
      <w:r w:rsidRPr="005C1C7A">
        <w:rPr>
          <w:rFonts w:ascii="Calibri" w:hAnsi="Calibri" w:cs="Calibri"/>
          <w:lang w:val="en-US"/>
        </w:rPr>
        <w:t>. We acknowledge the value of the roadmap presented in Section 3, "How is the materiality assessment performed?". It provides a structured guide outlining the steps for conducting a good practice materiality assessment. However, we propose that EFRAG expands on "Step D: Reporting" to incorporate specific examples of what constitutes "material information" This expansion could supplement the FAQs provided in Section 5.6, "FAQs on reporting," providing a more illustrative and practical understanding.</w:t>
      </w:r>
      <w:r w:rsidR="0056246C">
        <w:rPr>
          <w:rFonts w:ascii="Calibri" w:hAnsi="Calibri" w:cs="Calibri"/>
          <w:lang w:val="en-US"/>
        </w:rPr>
        <w:t xml:space="preserve"> </w:t>
      </w:r>
      <w:r w:rsidR="00776759">
        <w:rPr>
          <w:rFonts w:ascii="Calibri" w:hAnsi="Calibri" w:cs="Calibri"/>
          <w:lang w:val="en-US"/>
        </w:rPr>
        <w:t xml:space="preserve">In addition, we </w:t>
      </w:r>
      <w:r w:rsidR="009A788D" w:rsidRPr="0056246C">
        <w:rPr>
          <w:rFonts w:ascii="Calibri" w:hAnsi="Calibri" w:cs="Calibri"/>
          <w:lang w:val="en-US"/>
        </w:rPr>
        <w:t xml:space="preserve">suggest </w:t>
      </w:r>
      <w:r w:rsidR="00776759" w:rsidRPr="0056246C">
        <w:rPr>
          <w:rFonts w:ascii="Calibri" w:hAnsi="Calibri" w:cs="Calibri"/>
          <w:lang w:val="en-US"/>
        </w:rPr>
        <w:t xml:space="preserve">including more guidance and examples to clarify </w:t>
      </w:r>
      <w:r w:rsidR="009A788D" w:rsidRPr="0056246C">
        <w:rPr>
          <w:rFonts w:ascii="Calibri" w:hAnsi="Calibri" w:cs="Calibri"/>
          <w:lang w:val="en-US"/>
        </w:rPr>
        <w:t>more</w:t>
      </w:r>
      <w:r w:rsidR="00776759" w:rsidRPr="0056246C">
        <w:rPr>
          <w:rFonts w:ascii="Calibri" w:hAnsi="Calibri" w:cs="Calibri"/>
          <w:lang w:val="en-US"/>
        </w:rPr>
        <w:t xml:space="preserve"> </w:t>
      </w:r>
      <w:r w:rsidR="009A788D" w:rsidRPr="0056246C">
        <w:rPr>
          <w:rFonts w:ascii="Calibri" w:hAnsi="Calibri" w:cs="Calibri"/>
          <w:lang w:val="en-US"/>
        </w:rPr>
        <w:t xml:space="preserve">the distinction between </w:t>
      </w:r>
      <w:r w:rsidR="00776759" w:rsidRPr="0056246C">
        <w:rPr>
          <w:rFonts w:ascii="Calibri" w:hAnsi="Calibri" w:cs="Calibri"/>
          <w:lang w:val="en-US"/>
        </w:rPr>
        <w:t>“</w:t>
      </w:r>
      <w:r w:rsidR="009A788D" w:rsidRPr="0056246C">
        <w:rPr>
          <w:rFonts w:ascii="Calibri" w:hAnsi="Calibri" w:cs="Calibri"/>
          <w:lang w:val="en-US"/>
        </w:rPr>
        <w:t>material matters</w:t>
      </w:r>
      <w:r w:rsidR="00776759" w:rsidRPr="0056246C">
        <w:rPr>
          <w:rFonts w:ascii="Calibri" w:hAnsi="Calibri" w:cs="Calibri"/>
          <w:lang w:val="en-US"/>
        </w:rPr>
        <w:t>”</w:t>
      </w:r>
      <w:r w:rsidR="009A788D" w:rsidRPr="0056246C">
        <w:rPr>
          <w:rFonts w:ascii="Calibri" w:hAnsi="Calibri" w:cs="Calibri"/>
          <w:lang w:val="en-US"/>
        </w:rPr>
        <w:t xml:space="preserve"> and </w:t>
      </w:r>
      <w:r w:rsidR="00776759" w:rsidRPr="0056246C">
        <w:rPr>
          <w:rFonts w:ascii="Calibri" w:hAnsi="Calibri" w:cs="Calibri"/>
          <w:lang w:val="en-US"/>
        </w:rPr>
        <w:t>“</w:t>
      </w:r>
      <w:r w:rsidR="009A788D" w:rsidRPr="0056246C">
        <w:rPr>
          <w:rFonts w:ascii="Calibri" w:hAnsi="Calibri" w:cs="Calibri"/>
          <w:lang w:val="en-US"/>
        </w:rPr>
        <w:t>material information</w:t>
      </w:r>
      <w:r w:rsidR="00776759" w:rsidRPr="0056246C">
        <w:rPr>
          <w:rFonts w:ascii="Calibri" w:hAnsi="Calibri" w:cs="Calibri"/>
          <w:lang w:val="en-US"/>
        </w:rPr>
        <w:t>”</w:t>
      </w:r>
      <w:r w:rsidR="00776759">
        <w:rPr>
          <w:rFonts w:ascii="Calibri" w:hAnsi="Calibri" w:cs="Calibri"/>
          <w:lang w:val="en-US"/>
        </w:rPr>
        <w:t xml:space="preserve">. </w:t>
      </w:r>
    </w:p>
    <w:p w:rsidR="00826701" w:rsidRPr="00300E5B" w:rsidRDefault="00826701" w:rsidP="00826701">
      <w:pPr>
        <w:spacing w:before="120" w:after="120"/>
        <w:rPr>
          <w:rFonts w:ascii="Calibri" w:hAnsi="Calibri" w:cs="Calibri"/>
          <w:lang w:val="en-US"/>
        </w:rPr>
      </w:pPr>
      <w:r w:rsidRPr="00300E5B">
        <w:rPr>
          <w:rFonts w:ascii="Calibri" w:hAnsi="Calibri" w:cs="Calibri"/>
          <w:b/>
          <w:bCs/>
          <w:lang w:val="en-US"/>
        </w:rPr>
        <w:t>Paragraph 102</w:t>
      </w:r>
      <w:r w:rsidRPr="00300E5B">
        <w:rPr>
          <w:rFonts w:ascii="Calibri" w:hAnsi="Calibri" w:cs="Calibri"/>
          <w:lang w:val="en-US"/>
        </w:rPr>
        <w:t xml:space="preserve">. </w:t>
      </w:r>
      <w:r w:rsidR="00300E5B" w:rsidRPr="00300E5B">
        <w:rPr>
          <w:rFonts w:ascii="Calibri" w:hAnsi="Calibri" w:cs="Calibri"/>
          <w:lang w:val="en-US"/>
        </w:rPr>
        <w:t xml:space="preserve">MNE - OECD Multinational Enterprises Guidelines are mentioned before in </w:t>
      </w:r>
      <w:r w:rsidR="00300E5B">
        <w:rPr>
          <w:rFonts w:ascii="Calibri" w:hAnsi="Calibri" w:cs="Calibri"/>
          <w:lang w:val="en-US"/>
        </w:rPr>
        <w:t>p</w:t>
      </w:r>
      <w:r w:rsidR="00300E5B" w:rsidRPr="00300E5B">
        <w:rPr>
          <w:rFonts w:ascii="Calibri" w:hAnsi="Calibri" w:cs="Calibri"/>
          <w:lang w:val="en-US"/>
        </w:rPr>
        <w:t>aragraph</w:t>
      </w:r>
      <w:r w:rsidR="00300E5B" w:rsidRPr="00300E5B">
        <w:rPr>
          <w:rFonts w:ascii="Calibri" w:hAnsi="Calibri" w:cs="Calibri"/>
          <w:b/>
          <w:bCs/>
          <w:lang w:val="en-US"/>
        </w:rPr>
        <w:t xml:space="preserve"> </w:t>
      </w:r>
      <w:r w:rsidR="00300E5B" w:rsidRPr="00300E5B">
        <w:rPr>
          <w:rFonts w:ascii="Calibri" w:hAnsi="Calibri" w:cs="Calibri"/>
          <w:lang w:val="en-US"/>
        </w:rPr>
        <w:t>18, but no acronym is inserted there (first use)</w:t>
      </w:r>
      <w:r w:rsidR="00300E5B">
        <w:rPr>
          <w:rFonts w:ascii="Calibri" w:hAnsi="Calibri" w:cs="Calibri"/>
          <w:lang w:val="en-US"/>
        </w:rPr>
        <w:t xml:space="preserve"> and i</w:t>
      </w:r>
      <w:r w:rsidR="00300E5B" w:rsidRPr="00300E5B">
        <w:rPr>
          <w:rFonts w:ascii="Calibri" w:hAnsi="Calibri" w:cs="Calibri"/>
          <w:lang w:val="en-US"/>
        </w:rPr>
        <w:t>talic format is used.</w:t>
      </w:r>
      <w:r w:rsidR="00300E5B">
        <w:rPr>
          <w:rFonts w:ascii="Calibri" w:hAnsi="Calibri" w:cs="Calibri"/>
          <w:lang w:val="en-US"/>
        </w:rPr>
        <w:t xml:space="preserve"> In addition, w</w:t>
      </w:r>
      <w:r w:rsidR="00300E5B" w:rsidRPr="00300E5B">
        <w:rPr>
          <w:rFonts w:ascii="Calibri" w:hAnsi="Calibri" w:cs="Calibri"/>
          <w:lang w:val="en-US"/>
        </w:rPr>
        <w:t>e recommend that EGRAG consider mentioning that “</w:t>
      </w:r>
      <w:r w:rsidR="00300E5B" w:rsidRPr="00300E5B">
        <w:rPr>
          <w:rFonts w:ascii="Calibri" w:hAnsi="Calibri" w:cs="Calibri"/>
          <w:i/>
          <w:iCs/>
          <w:color w:val="000000"/>
          <w:shd w:val="clear" w:color="auto" w:fill="FFFFFF"/>
          <w:lang w:val="en-US"/>
        </w:rPr>
        <w:t>t</w:t>
      </w:r>
      <w:r w:rsidRPr="00300E5B">
        <w:rPr>
          <w:rFonts w:ascii="Calibri" w:hAnsi="Calibri" w:cs="Calibri"/>
          <w:i/>
          <w:iCs/>
          <w:color w:val="000000"/>
          <w:shd w:val="clear" w:color="auto" w:fill="FFFFFF"/>
          <w:lang w:val="en-US"/>
        </w:rPr>
        <w:t>he workers’ representatives’ opinion shall be communicated, where applicable, to the relevant administrative, management or supervisory bodies</w:t>
      </w:r>
      <w:r w:rsidR="00300E5B" w:rsidRPr="00300E5B">
        <w:rPr>
          <w:rFonts w:ascii="Calibri" w:hAnsi="Calibri" w:cs="Calibri"/>
          <w:i/>
          <w:iCs/>
          <w:color w:val="000000"/>
          <w:shd w:val="clear" w:color="auto" w:fill="FFFFFF"/>
          <w:lang w:val="en-US"/>
        </w:rPr>
        <w:t xml:space="preserve">” </w:t>
      </w:r>
      <w:r w:rsidR="00300E5B" w:rsidRPr="00300E5B">
        <w:rPr>
          <w:rFonts w:ascii="Calibri" w:hAnsi="Calibri" w:cs="Calibri"/>
          <w:lang w:val="en-US"/>
        </w:rPr>
        <w:t xml:space="preserve">according to </w:t>
      </w:r>
      <w:r w:rsidRPr="00300E5B">
        <w:rPr>
          <w:rFonts w:ascii="Calibri" w:hAnsi="Calibri" w:cs="Calibri"/>
          <w:lang w:val="en-US"/>
        </w:rPr>
        <w:t>DIRECTIVE (EU) 2022/2464</w:t>
      </w:r>
      <w:r w:rsidR="00300E5B" w:rsidRPr="00300E5B">
        <w:rPr>
          <w:rFonts w:ascii="Calibri" w:hAnsi="Calibri" w:cs="Calibri"/>
          <w:lang w:val="en-US"/>
        </w:rPr>
        <w:t xml:space="preserve"> </w:t>
      </w:r>
      <w:r w:rsidRPr="00300E5B">
        <w:rPr>
          <w:rFonts w:ascii="Calibri" w:hAnsi="Calibri" w:cs="Calibri"/>
          <w:lang w:val="en-US"/>
        </w:rPr>
        <w:t xml:space="preserve">(52). </w:t>
      </w:r>
      <w:r w:rsidR="005D6340">
        <w:rPr>
          <w:rFonts w:ascii="Calibri" w:hAnsi="Calibri" w:cs="Calibri"/>
          <w:lang w:val="en-US"/>
        </w:rPr>
        <w:t>Same in the p</w:t>
      </w:r>
      <w:r w:rsidR="005D6340" w:rsidRPr="00EC5239">
        <w:rPr>
          <w:rFonts w:ascii="Calibri" w:hAnsi="Calibri" w:cs="Calibri"/>
          <w:lang w:val="en-US"/>
        </w:rPr>
        <w:t>aragraph</w:t>
      </w:r>
      <w:r w:rsidR="005D6340" w:rsidRPr="00412DB9">
        <w:rPr>
          <w:rFonts w:ascii="Calibri" w:hAnsi="Calibri" w:cs="Calibri"/>
          <w:lang w:val="en-US"/>
        </w:rPr>
        <w:t xml:space="preserve"> 136.</w:t>
      </w:r>
    </w:p>
    <w:p w:rsidR="0088636D" w:rsidRPr="00412DB9" w:rsidRDefault="0088636D" w:rsidP="0022361A">
      <w:pPr>
        <w:spacing w:before="120" w:after="120"/>
        <w:rPr>
          <w:rFonts w:ascii="Calibri" w:hAnsi="Calibri" w:cs="Calibri"/>
          <w:b/>
          <w:bCs/>
          <w:lang w:val="en-US"/>
        </w:rPr>
      </w:pPr>
      <w:r w:rsidRPr="00412DB9">
        <w:rPr>
          <w:rFonts w:ascii="Calibri" w:hAnsi="Calibri" w:cs="Calibri"/>
          <w:b/>
          <w:bCs/>
          <w:lang w:val="en-US"/>
        </w:rPr>
        <w:t>CHAPTER 4</w:t>
      </w:r>
      <w:r w:rsidR="0022361A" w:rsidRPr="00412DB9">
        <w:rPr>
          <w:rFonts w:ascii="Calibri" w:hAnsi="Calibri" w:cs="Calibri"/>
          <w:b/>
          <w:bCs/>
          <w:lang w:val="en-US"/>
        </w:rPr>
        <w:t>: How to leverage other sources?</w:t>
      </w:r>
    </w:p>
    <w:p w:rsidR="005D6340" w:rsidRPr="005D6340" w:rsidRDefault="00EC5239" w:rsidP="005D6340">
      <w:pPr>
        <w:rPr>
          <w:rFonts w:ascii="Calibri" w:hAnsi="Calibri" w:cs="Calibri"/>
          <w:lang w:val="en-US"/>
        </w:rPr>
      </w:pPr>
      <w:r w:rsidRPr="005A2896">
        <w:rPr>
          <w:rFonts w:ascii="Calibri" w:hAnsi="Calibri" w:cs="Calibri"/>
          <w:b/>
          <w:bCs/>
          <w:lang w:val="en-US"/>
        </w:rPr>
        <w:t xml:space="preserve">Paragraph </w:t>
      </w:r>
      <w:r w:rsidR="00412DB9" w:rsidRPr="005A2896">
        <w:rPr>
          <w:rFonts w:ascii="Calibri" w:hAnsi="Calibri" w:cs="Calibri"/>
          <w:b/>
          <w:bCs/>
          <w:lang w:val="en-US"/>
        </w:rPr>
        <w:t>134</w:t>
      </w:r>
      <w:r w:rsidR="00412DB9" w:rsidRPr="0027046D">
        <w:rPr>
          <w:rFonts w:ascii="Calibri" w:hAnsi="Calibri" w:cs="Calibri"/>
          <w:lang w:val="en-US"/>
        </w:rPr>
        <w:t xml:space="preserve">. </w:t>
      </w:r>
      <w:r w:rsidR="005D6340" w:rsidRPr="005D6340">
        <w:rPr>
          <w:rFonts w:ascii="Calibri" w:hAnsi="Calibri" w:cs="Calibri"/>
          <w:lang w:val="en-US"/>
        </w:rPr>
        <w:t>This paragraph highlights that in the ESRS, the evaluation of what is decision-useful takes into account both investors and other stakeholders. We suggest expanding the term 'investors' to encompass those who currently provide or may potentially provide resources to the undertaking in the future, aligning with ESRS 1p22 and the wording used in paragraph 115 of the MAIG.</w:t>
      </w:r>
    </w:p>
    <w:p w:rsidR="005E0321" w:rsidRPr="005E0321" w:rsidRDefault="0088636D" w:rsidP="005E0321">
      <w:pPr>
        <w:spacing w:before="120" w:after="120"/>
        <w:rPr>
          <w:rFonts w:ascii="Calibri" w:hAnsi="Calibri" w:cs="Calibri"/>
          <w:b/>
          <w:bCs/>
          <w:lang w:val="en-US"/>
        </w:rPr>
      </w:pPr>
      <w:r w:rsidRPr="007E0F3B">
        <w:rPr>
          <w:rFonts w:ascii="Calibri" w:hAnsi="Calibri" w:cs="Calibri"/>
          <w:b/>
          <w:bCs/>
          <w:lang w:val="en-US"/>
        </w:rPr>
        <w:t>CHAPTER 5</w:t>
      </w:r>
      <w:r w:rsidR="005E0321">
        <w:rPr>
          <w:rFonts w:ascii="Calibri" w:hAnsi="Calibri" w:cs="Calibri"/>
          <w:b/>
          <w:bCs/>
          <w:lang w:val="en-US"/>
        </w:rPr>
        <w:t xml:space="preserve">: </w:t>
      </w:r>
      <w:r w:rsidR="005E0321" w:rsidRPr="005E0321">
        <w:rPr>
          <w:rFonts w:ascii="Calibri" w:hAnsi="Calibri" w:cs="Calibri"/>
          <w:b/>
          <w:bCs/>
          <w:lang w:val="en-US"/>
        </w:rPr>
        <w:t xml:space="preserve">Frequently asked questions (FAQ) </w:t>
      </w:r>
    </w:p>
    <w:p w:rsidR="00DD4EA3" w:rsidRDefault="00DD4EA3" w:rsidP="0022361A">
      <w:pPr>
        <w:spacing w:before="120" w:after="120"/>
        <w:rPr>
          <w:rFonts w:ascii="Calibri" w:hAnsi="Calibri" w:cs="Calibri"/>
          <w:b/>
          <w:bCs/>
          <w:lang w:val="en-US"/>
        </w:rPr>
      </w:pPr>
      <w:r w:rsidRPr="007E0F3B">
        <w:rPr>
          <w:rFonts w:ascii="Calibri" w:hAnsi="Calibri" w:cs="Calibri"/>
          <w:b/>
          <w:bCs/>
          <w:lang w:val="en-US"/>
        </w:rPr>
        <w:t xml:space="preserve">5.1 FAQs on </w:t>
      </w:r>
      <w:r w:rsidR="007E0F3B" w:rsidRPr="007E0F3B">
        <w:rPr>
          <w:rFonts w:ascii="Calibri" w:hAnsi="Calibri" w:cs="Calibri"/>
          <w:b/>
          <w:bCs/>
          <w:lang w:val="en-US"/>
        </w:rPr>
        <w:t xml:space="preserve">financial </w:t>
      </w:r>
      <w:r w:rsidRPr="007E0F3B">
        <w:rPr>
          <w:rFonts w:ascii="Calibri" w:hAnsi="Calibri" w:cs="Calibri"/>
          <w:b/>
          <w:bCs/>
          <w:lang w:val="en-US"/>
        </w:rPr>
        <w:t>materiality</w:t>
      </w:r>
    </w:p>
    <w:p w:rsidR="00323A1F" w:rsidRPr="004E5A9D" w:rsidRDefault="00323A1F" w:rsidP="0022361A">
      <w:pPr>
        <w:spacing w:before="120" w:after="120"/>
        <w:rPr>
          <w:rFonts w:ascii="Calibri" w:hAnsi="Calibri" w:cs="Calibri"/>
          <w:b/>
          <w:bCs/>
          <w:i/>
          <w:iCs/>
          <w:lang w:val="en-US"/>
        </w:rPr>
      </w:pPr>
      <w:r w:rsidRPr="004E5A9D">
        <w:rPr>
          <w:rFonts w:ascii="Calibri" w:hAnsi="Calibri" w:cs="Calibri"/>
          <w:b/>
          <w:bCs/>
          <w:i/>
          <w:iCs/>
          <w:lang w:val="en-US"/>
        </w:rPr>
        <w:t>FAQ 12: Should the materiality assessment be documented/evidenced?</w:t>
      </w:r>
    </w:p>
    <w:p w:rsidR="00D97F62" w:rsidRPr="00D97F62" w:rsidRDefault="000641A8" w:rsidP="00D97F62">
      <w:pPr>
        <w:rPr>
          <w:rFonts w:ascii="Calibri" w:hAnsi="Calibri" w:cs="Calibri"/>
          <w:lang w:val="en-US"/>
        </w:rPr>
      </w:pPr>
      <w:r w:rsidRPr="00823814">
        <w:rPr>
          <w:rFonts w:ascii="Calibri" w:hAnsi="Calibri" w:cs="Calibri"/>
          <w:lang w:val="en-US"/>
        </w:rPr>
        <w:t>We acknowledge that ESRS do not prescribe specific documentation</w:t>
      </w:r>
      <w:r w:rsidR="00D97F62">
        <w:rPr>
          <w:rFonts w:ascii="Calibri" w:hAnsi="Calibri" w:cs="Calibri"/>
          <w:lang w:val="en-US"/>
        </w:rPr>
        <w:t xml:space="preserve"> </w:t>
      </w:r>
      <w:r w:rsidR="00D97F62" w:rsidRPr="00D97F62">
        <w:rPr>
          <w:rFonts w:ascii="Calibri" w:hAnsi="Calibri" w:cs="Calibri"/>
          <w:lang w:val="en-US"/>
        </w:rPr>
        <w:t>to support the materiality assessment</w:t>
      </w:r>
      <w:r w:rsidRPr="00823814">
        <w:rPr>
          <w:rFonts w:ascii="Calibri" w:hAnsi="Calibri" w:cs="Calibri"/>
          <w:lang w:val="en-US"/>
        </w:rPr>
        <w:t xml:space="preserve">. Nevertheless, beyond what is </w:t>
      </w:r>
      <w:r w:rsidR="00823814">
        <w:rPr>
          <w:rFonts w:ascii="Calibri" w:hAnsi="Calibri" w:cs="Calibri"/>
          <w:lang w:val="en-US"/>
        </w:rPr>
        <w:t>“</w:t>
      </w:r>
      <w:r w:rsidRPr="00823814">
        <w:rPr>
          <w:rFonts w:ascii="Calibri" w:hAnsi="Calibri" w:cs="Calibri"/>
          <w:lang w:val="en-US"/>
        </w:rPr>
        <w:t>reasonable to expect</w:t>
      </w:r>
      <w:r w:rsidR="00823814">
        <w:rPr>
          <w:rFonts w:ascii="Calibri" w:hAnsi="Calibri" w:cs="Calibri"/>
          <w:lang w:val="en-US"/>
        </w:rPr>
        <w:t>”</w:t>
      </w:r>
      <w:r w:rsidR="00D97F62">
        <w:rPr>
          <w:rFonts w:ascii="Calibri" w:hAnsi="Calibri" w:cs="Calibri"/>
          <w:lang w:val="en-US"/>
        </w:rPr>
        <w:t>,</w:t>
      </w:r>
      <w:r w:rsidR="00823814">
        <w:rPr>
          <w:rFonts w:ascii="Calibri" w:hAnsi="Calibri" w:cs="Calibri"/>
          <w:lang w:val="en-US"/>
        </w:rPr>
        <w:t xml:space="preserve"> </w:t>
      </w:r>
      <w:r w:rsidRPr="00823814">
        <w:rPr>
          <w:rFonts w:ascii="Calibri" w:hAnsi="Calibri" w:cs="Calibri"/>
          <w:lang w:val="en-US"/>
        </w:rPr>
        <w:t xml:space="preserve">we recommend </w:t>
      </w:r>
      <w:r w:rsidR="00D97F62">
        <w:rPr>
          <w:rFonts w:ascii="Calibri" w:hAnsi="Calibri" w:cs="Calibri"/>
          <w:lang w:val="en-US"/>
        </w:rPr>
        <w:t>m</w:t>
      </w:r>
      <w:r w:rsidR="00D97F62" w:rsidRPr="00D97F62">
        <w:rPr>
          <w:rFonts w:ascii="Calibri" w:hAnsi="Calibri" w:cs="Calibri"/>
          <w:lang w:val="en-US"/>
        </w:rPr>
        <w:t>aking it explicit that it is advisable to retain supporting documentation and evidence for both internal use and to facilitate the process of obtaining assurance.</w:t>
      </w:r>
    </w:p>
    <w:p w:rsidR="00323A1F" w:rsidRPr="004E5A9D" w:rsidRDefault="00323A1F" w:rsidP="00323A1F">
      <w:pPr>
        <w:spacing w:before="120" w:after="120"/>
        <w:rPr>
          <w:rFonts w:ascii="Calibri" w:hAnsi="Calibri" w:cs="Calibri"/>
          <w:b/>
          <w:bCs/>
          <w:i/>
          <w:iCs/>
          <w:lang w:val="en-US"/>
        </w:rPr>
      </w:pPr>
      <w:r w:rsidRPr="004E5A9D">
        <w:rPr>
          <w:rFonts w:ascii="Calibri" w:hAnsi="Calibri" w:cs="Calibri"/>
          <w:b/>
          <w:bCs/>
          <w:i/>
          <w:iCs/>
          <w:lang w:val="en-US"/>
        </w:rPr>
        <w:t>FAQ 13: Doing the materiality assessment when the undertaking operates in different sectors</w:t>
      </w:r>
    </w:p>
    <w:p w:rsidR="00E3725A" w:rsidRDefault="00E3725A" w:rsidP="00ED5794">
      <w:pPr>
        <w:rPr>
          <w:rFonts w:ascii="Calibri" w:hAnsi="Calibri" w:cs="Calibri"/>
          <w:lang w:val="en-US"/>
        </w:rPr>
      </w:pPr>
      <w:r>
        <w:rPr>
          <w:rFonts w:ascii="Calibri" w:hAnsi="Calibri" w:cs="Calibri"/>
          <w:lang w:val="en-US"/>
        </w:rPr>
        <w:t xml:space="preserve">AECA appreciates the clarifications that MAIG makes with regard to the level of disaggregation to be adopted in the materiality assessment process. However, there are some </w:t>
      </w:r>
      <w:r w:rsidR="00D7771D">
        <w:rPr>
          <w:rFonts w:ascii="Calibri" w:hAnsi="Calibri" w:cs="Calibri"/>
          <w:lang w:val="en-US"/>
        </w:rPr>
        <w:t>topics</w:t>
      </w:r>
      <w:r>
        <w:rPr>
          <w:rFonts w:ascii="Calibri" w:hAnsi="Calibri" w:cs="Calibri"/>
          <w:lang w:val="en-US"/>
        </w:rPr>
        <w:t xml:space="preserve"> for that we would have </w:t>
      </w:r>
      <w:r w:rsidR="00D7771D">
        <w:rPr>
          <w:rFonts w:ascii="Calibri" w:hAnsi="Calibri" w:cs="Calibri"/>
          <w:lang w:val="en-US"/>
        </w:rPr>
        <w:t xml:space="preserve">welcomed additional </w:t>
      </w:r>
      <w:r>
        <w:rPr>
          <w:rFonts w:ascii="Calibri" w:hAnsi="Calibri" w:cs="Calibri"/>
          <w:lang w:val="en-US"/>
        </w:rPr>
        <w:t xml:space="preserve">guidance </w:t>
      </w:r>
      <w:r w:rsidR="0074270C">
        <w:rPr>
          <w:rFonts w:ascii="Calibri" w:hAnsi="Calibri" w:cs="Calibri"/>
          <w:lang w:val="en-US"/>
        </w:rPr>
        <w:t xml:space="preserve">or illustrative examples </w:t>
      </w:r>
      <w:r>
        <w:rPr>
          <w:rFonts w:ascii="Calibri" w:hAnsi="Calibri" w:cs="Calibri"/>
          <w:lang w:val="en-US"/>
        </w:rPr>
        <w:t xml:space="preserve">on: </w:t>
      </w:r>
    </w:p>
    <w:p w:rsidR="00352F47" w:rsidRDefault="00352F47" w:rsidP="00352F47">
      <w:pPr>
        <w:pStyle w:val="Prrafodelista"/>
        <w:numPr>
          <w:ilvl w:val="0"/>
          <w:numId w:val="15"/>
        </w:numPr>
        <w:spacing w:before="120" w:after="120"/>
        <w:ind w:left="357" w:hanging="357"/>
        <w:contextualSpacing w:val="0"/>
        <w:rPr>
          <w:rFonts w:ascii="Calibri" w:hAnsi="Calibri" w:cs="Calibri"/>
          <w:lang w:val="en-US"/>
        </w:rPr>
      </w:pPr>
      <w:r w:rsidRPr="00352F47">
        <w:rPr>
          <w:rFonts w:ascii="Calibri" w:hAnsi="Calibri" w:cs="Calibri"/>
          <w:lang w:val="en-US"/>
        </w:rPr>
        <w:t xml:space="preserve">Practical implementation with regard to the assessment of "significant differences" between material IROs at group level and material IROs of one or more of the subsidiaries (ESRS 1p103), </w:t>
      </w:r>
      <w:r w:rsidR="007B53B9">
        <w:rPr>
          <w:rFonts w:ascii="Calibri" w:hAnsi="Calibri" w:cs="Calibri"/>
          <w:lang w:val="en-US"/>
        </w:rPr>
        <w:t>particularly</w:t>
      </w:r>
      <w:r>
        <w:rPr>
          <w:rFonts w:ascii="Calibri" w:hAnsi="Calibri" w:cs="Calibri"/>
          <w:lang w:val="en-US"/>
        </w:rPr>
        <w:t xml:space="preserve"> </w:t>
      </w:r>
      <w:r w:rsidRPr="00352F47">
        <w:rPr>
          <w:rFonts w:ascii="Calibri" w:hAnsi="Calibri" w:cs="Calibri"/>
          <w:lang w:val="en-US"/>
        </w:rPr>
        <w:t>relevant when considering financial materiality."</w:t>
      </w:r>
    </w:p>
    <w:p w:rsidR="00352F47" w:rsidRDefault="00352F47" w:rsidP="00217954">
      <w:pPr>
        <w:pStyle w:val="Prrafodelista"/>
        <w:numPr>
          <w:ilvl w:val="0"/>
          <w:numId w:val="15"/>
        </w:numPr>
        <w:spacing w:before="120" w:after="120"/>
        <w:ind w:left="357" w:hanging="357"/>
        <w:contextualSpacing w:val="0"/>
        <w:rPr>
          <w:rFonts w:ascii="Calibri" w:hAnsi="Calibri" w:cs="Calibri"/>
          <w:lang w:val="en-US"/>
        </w:rPr>
      </w:pPr>
      <w:r w:rsidRPr="00352F47">
        <w:rPr>
          <w:rFonts w:ascii="Calibri" w:hAnsi="Calibri" w:cs="Calibri"/>
          <w:lang w:val="en-US"/>
        </w:rPr>
        <w:t xml:space="preserve">The interpretation of the term "appropriate level of consistency in methodologies and thresholds across the entire group" in paragraph 181. The example introduced in paragraph </w:t>
      </w:r>
      <w:r w:rsidRPr="00352F47">
        <w:rPr>
          <w:rFonts w:ascii="Calibri" w:hAnsi="Calibri" w:cs="Calibri"/>
          <w:lang w:val="en-US"/>
        </w:rPr>
        <w:lastRenderedPageBreak/>
        <w:t>119 only contributes to further confusion regarding this concept</w:t>
      </w:r>
      <w:r w:rsidR="00D7771D">
        <w:rPr>
          <w:rFonts w:ascii="Calibri" w:hAnsi="Calibri" w:cs="Calibri"/>
          <w:lang w:val="en-US"/>
        </w:rPr>
        <w:t xml:space="preserve">, </w:t>
      </w:r>
      <w:r w:rsidR="00D7771D" w:rsidRPr="00D7771D">
        <w:rPr>
          <w:rFonts w:ascii="Calibri" w:hAnsi="Calibri" w:cs="Calibri"/>
          <w:lang w:val="en-US"/>
        </w:rPr>
        <w:t>particularly as the thresholds for evaluating the scope and probability of an impact may differ based on whether the assessment is conducted at the subsidiary or group level.</w:t>
      </w:r>
    </w:p>
    <w:p w:rsidR="00D7771D" w:rsidRDefault="00E46B01" w:rsidP="00D7771D">
      <w:pPr>
        <w:pStyle w:val="Prrafodelista"/>
        <w:numPr>
          <w:ilvl w:val="0"/>
          <w:numId w:val="15"/>
        </w:numPr>
        <w:spacing w:before="120" w:after="120"/>
        <w:ind w:left="357" w:hanging="357"/>
        <w:contextualSpacing w:val="0"/>
        <w:rPr>
          <w:rFonts w:ascii="Calibri" w:hAnsi="Calibri" w:cs="Calibri"/>
          <w:lang w:val="en-US"/>
        </w:rPr>
      </w:pPr>
      <w:r w:rsidRPr="00E46B01">
        <w:rPr>
          <w:rFonts w:ascii="Calibri" w:hAnsi="Calibri" w:cs="Calibri"/>
          <w:lang w:val="en-US"/>
        </w:rPr>
        <w:t>Interpretation of the aggregation and disaggregation principles concerning the identification of material IROs and for reporting purposes (paragraphs 96 and 179).</w:t>
      </w:r>
      <w:r w:rsidR="00D7771D">
        <w:rPr>
          <w:rFonts w:ascii="Calibri" w:hAnsi="Calibri" w:cs="Calibri"/>
          <w:lang w:val="en-US"/>
        </w:rPr>
        <w:t xml:space="preserve"> </w:t>
      </w:r>
    </w:p>
    <w:p w:rsidR="00E46B01" w:rsidRPr="00D7771D" w:rsidRDefault="00E46B01" w:rsidP="00E46B01">
      <w:pPr>
        <w:pStyle w:val="Prrafodelista"/>
        <w:numPr>
          <w:ilvl w:val="0"/>
          <w:numId w:val="15"/>
        </w:numPr>
        <w:spacing w:before="120" w:after="120"/>
        <w:ind w:left="357" w:hanging="357"/>
        <w:contextualSpacing w:val="0"/>
        <w:rPr>
          <w:rFonts w:ascii="Calibri" w:hAnsi="Calibri" w:cs="Calibri"/>
          <w:lang w:val="en-US"/>
        </w:rPr>
      </w:pPr>
      <w:r>
        <w:rPr>
          <w:rFonts w:ascii="Calibri" w:hAnsi="Calibri" w:cs="Calibri"/>
          <w:lang w:val="en-US"/>
        </w:rPr>
        <w:t xml:space="preserve">Operative implementation of the </w:t>
      </w:r>
      <w:r w:rsidRPr="00D7771D">
        <w:rPr>
          <w:rFonts w:ascii="Calibri" w:hAnsi="Calibri" w:cs="Calibri"/>
          <w:lang w:val="en-US"/>
        </w:rPr>
        <w:t xml:space="preserve">top-down </w:t>
      </w:r>
      <w:r>
        <w:rPr>
          <w:rFonts w:ascii="Calibri" w:hAnsi="Calibri" w:cs="Calibri"/>
          <w:lang w:val="en-US"/>
        </w:rPr>
        <w:t xml:space="preserve">and </w:t>
      </w:r>
      <w:r w:rsidRPr="00D7771D">
        <w:rPr>
          <w:rFonts w:ascii="Calibri" w:hAnsi="Calibri" w:cs="Calibri"/>
          <w:lang w:val="en-US"/>
        </w:rPr>
        <w:t>bottom-up</w:t>
      </w:r>
      <w:r>
        <w:rPr>
          <w:rFonts w:ascii="Calibri" w:hAnsi="Calibri" w:cs="Calibri"/>
          <w:lang w:val="en-US"/>
        </w:rPr>
        <w:t xml:space="preserve"> approaches.</w:t>
      </w:r>
    </w:p>
    <w:p w:rsidR="00DD4EA3" w:rsidRPr="005E0321" w:rsidRDefault="00DD4EA3" w:rsidP="0022361A">
      <w:pPr>
        <w:spacing w:before="120" w:after="120"/>
        <w:rPr>
          <w:rFonts w:ascii="Calibri" w:hAnsi="Calibri" w:cs="Calibri"/>
          <w:b/>
          <w:bCs/>
          <w:lang w:val="en-US"/>
        </w:rPr>
      </w:pPr>
      <w:r w:rsidRPr="005E0321">
        <w:rPr>
          <w:rFonts w:ascii="Calibri" w:hAnsi="Calibri" w:cs="Calibri"/>
          <w:b/>
          <w:bCs/>
          <w:lang w:val="en-US"/>
        </w:rPr>
        <w:t xml:space="preserve">5.4 FAQs on stakeholder engagement </w:t>
      </w:r>
    </w:p>
    <w:p w:rsidR="0078021C" w:rsidRDefault="0078021C" w:rsidP="0078021C">
      <w:pPr>
        <w:spacing w:before="120" w:after="120"/>
        <w:rPr>
          <w:rFonts w:ascii="Calibri" w:hAnsi="Calibri" w:cs="Calibri"/>
          <w:b/>
          <w:bCs/>
          <w:i/>
          <w:iCs/>
          <w:lang w:val="en-US"/>
        </w:rPr>
      </w:pPr>
      <w:r w:rsidRPr="005E0321">
        <w:rPr>
          <w:rFonts w:ascii="Calibri" w:hAnsi="Calibri" w:cs="Calibri"/>
          <w:b/>
          <w:bCs/>
          <w:i/>
          <w:iCs/>
          <w:lang w:val="en-US"/>
        </w:rPr>
        <w:t xml:space="preserve">FAQ 23: When an undertaking has actions in place to avoid, </w:t>
      </w:r>
      <w:proofErr w:type="spellStart"/>
      <w:r w:rsidRPr="005E0321">
        <w:rPr>
          <w:rFonts w:ascii="Calibri" w:hAnsi="Calibri" w:cs="Calibri"/>
          <w:b/>
          <w:bCs/>
          <w:i/>
          <w:iCs/>
          <w:lang w:val="en-US"/>
        </w:rPr>
        <w:t>minimise</w:t>
      </w:r>
      <w:proofErr w:type="spellEnd"/>
      <w:r w:rsidRPr="005E0321">
        <w:rPr>
          <w:rFonts w:ascii="Calibri" w:hAnsi="Calibri" w:cs="Calibri"/>
          <w:b/>
          <w:bCs/>
          <w:i/>
          <w:iCs/>
          <w:lang w:val="en-US"/>
        </w:rPr>
        <w:t>, restore or compensate environmental impacts, shall it report on the impacts before those actions?</w:t>
      </w:r>
    </w:p>
    <w:p w:rsidR="00DC5504" w:rsidRPr="00DC5504" w:rsidRDefault="002002FF" w:rsidP="0078021C">
      <w:pPr>
        <w:spacing w:before="120" w:after="120"/>
        <w:rPr>
          <w:rFonts w:ascii="Segoe UI" w:hAnsi="Segoe UI" w:cs="Segoe UI"/>
          <w:color w:val="374151"/>
          <w:lang w:val="en-US"/>
        </w:rPr>
      </w:pPr>
      <w:r w:rsidRPr="002002FF">
        <w:rPr>
          <w:rFonts w:ascii="Calibri" w:hAnsi="Calibri" w:cs="Calibri"/>
          <w:lang w:val="en-US"/>
        </w:rPr>
        <w:t xml:space="preserve">As the paragraph 215 mentions that “the users of the sustainability statement will receive information on the actual impacts where no distinction is made between gross and net” is not clear if the materiality assessment should be made on gross or net basis. </w:t>
      </w:r>
      <w:r>
        <w:rPr>
          <w:rFonts w:ascii="Calibri" w:hAnsi="Calibri" w:cs="Calibri"/>
          <w:lang w:val="en-US"/>
        </w:rPr>
        <w:t xml:space="preserve">Though according to paragraph 217 </w:t>
      </w:r>
      <w:r w:rsidRPr="002002FF">
        <w:rPr>
          <w:rFonts w:ascii="Calibri" w:hAnsi="Calibri" w:cs="Calibri"/>
          <w:lang w:val="en-US"/>
        </w:rPr>
        <w:t xml:space="preserve">actual impacts are always assessed before consideration of mitigation measures. </w:t>
      </w:r>
      <w:r w:rsidR="00DC5504" w:rsidRPr="00DC5504">
        <w:rPr>
          <w:rFonts w:ascii="Calibri" w:hAnsi="Calibri" w:cs="Calibri"/>
          <w:lang w:val="en-US"/>
        </w:rPr>
        <w:t xml:space="preserve">Therefore, we recommend that EFRAG revises this statement to </w:t>
      </w:r>
      <w:r w:rsidR="00DC5504">
        <w:rPr>
          <w:rFonts w:ascii="Calibri" w:hAnsi="Calibri" w:cs="Calibri"/>
          <w:lang w:val="en-US"/>
        </w:rPr>
        <w:t xml:space="preserve">provide further </w:t>
      </w:r>
      <w:r w:rsidR="00DC5504" w:rsidRPr="00DC5504">
        <w:rPr>
          <w:rFonts w:ascii="Calibri" w:hAnsi="Calibri" w:cs="Calibri"/>
          <w:lang w:val="en-US"/>
        </w:rPr>
        <w:t>guidance on the assessment of whether impacts should be evaluated on a gross or net basis. Regardless of whether the materiality assessment has been conducted on a gross or net basis, users of the sustainability statement will receive information about the actual material impacts.</w:t>
      </w:r>
    </w:p>
    <w:p w:rsidR="00376447" w:rsidRPr="00ED3290" w:rsidRDefault="0078021C" w:rsidP="00917022">
      <w:pPr>
        <w:spacing w:before="120" w:after="120"/>
        <w:rPr>
          <w:lang w:val="en-US"/>
        </w:rPr>
      </w:pPr>
      <w:r w:rsidRPr="00984ECE">
        <w:rPr>
          <w:rFonts w:ascii="Calibri" w:hAnsi="Calibri" w:cs="Calibri"/>
          <w:b/>
          <w:bCs/>
          <w:lang w:val="en-US"/>
        </w:rPr>
        <w:t>Paragraph 220.</w:t>
      </w:r>
      <w:r>
        <w:rPr>
          <w:rFonts w:ascii="Calibri" w:hAnsi="Calibri" w:cs="Calibri"/>
          <w:lang w:val="en-US"/>
        </w:rPr>
        <w:t xml:space="preserve"> Based on this paragraph, </w:t>
      </w:r>
      <w:r w:rsidRPr="0078021C">
        <w:rPr>
          <w:rFonts w:ascii="Calibri" w:hAnsi="Calibri" w:cs="Calibri"/>
          <w:lang w:val="en-US"/>
        </w:rPr>
        <w:t xml:space="preserve">it appears that EFRAG might release forthcoming guidance concerning materiality assessments for social topics. Nevertheless, we highly recommend proactively addressing this concern within the current MAIG by furnishing additional examples and guidance. </w:t>
      </w:r>
      <w:bookmarkEnd w:id="1"/>
    </w:p>
    <w:sectPr w:rsidR="00376447" w:rsidRPr="00ED3290" w:rsidSect="00D70A3D">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B1F" w:rsidRDefault="00943B1F" w:rsidP="00AE3AFE">
      <w:pPr>
        <w:spacing w:after="0" w:line="240" w:lineRule="auto"/>
      </w:pPr>
      <w:r>
        <w:separator/>
      </w:r>
    </w:p>
  </w:endnote>
  <w:endnote w:type="continuationSeparator" w:id="0">
    <w:p w:rsidR="00943B1F" w:rsidRDefault="00943B1F" w:rsidP="00AE3A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ptos">
    <w:altName w:val="Arial"/>
    <w:charset w:val="00"/>
    <w:family w:val="swiss"/>
    <w:pitch w:val="variable"/>
    <w:sig w:usb0="00000001" w:usb1="00000003" w:usb2="00000000" w:usb3="00000000" w:csb0="0000019F" w:csb1="00000000"/>
  </w:font>
  <w:font w:name="HelveticaNeueLT Std">
    <w:altName w:val="Arial"/>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Aptos Display">
    <w:altName w:val="Arial"/>
    <w:charset w:val="00"/>
    <w:family w:val="swiss"/>
    <w:pitch w:val="variable"/>
    <w:sig w:usb0="00000001" w:usb1="00000003" w:usb2="00000000" w:usb3="00000000" w:csb0="0000019F" w:csb1="00000000"/>
  </w:font>
  <w:font w:name="Avenir Next LT Pro">
    <w:charset w:val="00"/>
    <w:family w:val="swiss"/>
    <w:pitch w:val="variable"/>
    <w:sig w:usb0="800000EF" w:usb1="5000204A" w:usb2="00000000" w:usb3="00000000" w:csb0="00000093" w:csb1="00000000"/>
  </w:font>
  <w:font w:name="Domus Titling Extrabold">
    <w:altName w:val="Cambria"/>
    <w:panose1 w:val="00000000000000000000"/>
    <w:charset w:val="00"/>
    <w:family w:val="decorative"/>
    <w:notTrueType/>
    <w:pitch w:val="variable"/>
    <w:sig w:usb0="A0000027" w:usb1="0000004B" w:usb2="00000000" w:usb3="00000000" w:csb0="00000193"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B1F" w:rsidRDefault="00943B1F" w:rsidP="00AE3AFE">
      <w:pPr>
        <w:spacing w:after="0" w:line="240" w:lineRule="auto"/>
      </w:pPr>
      <w:r>
        <w:separator/>
      </w:r>
    </w:p>
  </w:footnote>
  <w:footnote w:type="continuationSeparator" w:id="0">
    <w:p w:rsidR="00943B1F" w:rsidRDefault="00943B1F" w:rsidP="00AE3A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844E9D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9334B1"/>
    <w:multiLevelType w:val="multilevel"/>
    <w:tmpl w:val="356007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1BA4205"/>
    <w:multiLevelType w:val="multilevel"/>
    <w:tmpl w:val="1BD2C2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1D437CA"/>
    <w:multiLevelType w:val="multilevel"/>
    <w:tmpl w:val="072A1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C8C6B76"/>
    <w:multiLevelType w:val="multilevel"/>
    <w:tmpl w:val="B588A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F21C3B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202A1E24"/>
    <w:multiLevelType w:val="hybridMultilevel"/>
    <w:tmpl w:val="09BCBFD8"/>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7">
    <w:nsid w:val="265007E0"/>
    <w:multiLevelType w:val="multilevel"/>
    <w:tmpl w:val="806C4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7BF74CA"/>
    <w:multiLevelType w:val="multilevel"/>
    <w:tmpl w:val="6C767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FFA09A8"/>
    <w:multiLevelType w:val="hybridMultilevel"/>
    <w:tmpl w:val="D324A944"/>
    <w:lvl w:ilvl="0" w:tplc="FFFFFFFF">
      <w:start w:val="1"/>
      <w:numFmt w:val="decimal"/>
      <w:lvlText w:val="(%1)"/>
      <w:lvlJc w:val="right"/>
      <w:pPr>
        <w:ind w:left="184" w:hanging="360"/>
      </w:pPr>
      <w:rPr>
        <w:rFonts w:hint="default"/>
      </w:rPr>
    </w:lvl>
    <w:lvl w:ilvl="1" w:tplc="10000001">
      <w:start w:val="1"/>
      <w:numFmt w:val="bullet"/>
      <w:lvlText w:val=""/>
      <w:lvlJc w:val="left"/>
      <w:pPr>
        <w:ind w:left="1264" w:hanging="360"/>
      </w:pPr>
      <w:rPr>
        <w:rFonts w:ascii="Symbol" w:hAnsi="Symbol" w:hint="default"/>
      </w:rPr>
    </w:lvl>
    <w:lvl w:ilvl="2" w:tplc="FFFFFFFF" w:tentative="1">
      <w:start w:val="1"/>
      <w:numFmt w:val="lowerRoman"/>
      <w:lvlText w:val="%3."/>
      <w:lvlJc w:val="right"/>
      <w:pPr>
        <w:ind w:left="1984" w:hanging="180"/>
      </w:pPr>
    </w:lvl>
    <w:lvl w:ilvl="3" w:tplc="FFFFFFFF" w:tentative="1">
      <w:start w:val="1"/>
      <w:numFmt w:val="decimal"/>
      <w:lvlText w:val="%4."/>
      <w:lvlJc w:val="left"/>
      <w:pPr>
        <w:ind w:left="2704" w:hanging="360"/>
      </w:pPr>
    </w:lvl>
    <w:lvl w:ilvl="4" w:tplc="FFFFFFFF" w:tentative="1">
      <w:start w:val="1"/>
      <w:numFmt w:val="lowerLetter"/>
      <w:lvlText w:val="%5."/>
      <w:lvlJc w:val="left"/>
      <w:pPr>
        <w:ind w:left="3424" w:hanging="360"/>
      </w:pPr>
    </w:lvl>
    <w:lvl w:ilvl="5" w:tplc="FFFFFFFF" w:tentative="1">
      <w:start w:val="1"/>
      <w:numFmt w:val="lowerRoman"/>
      <w:lvlText w:val="%6."/>
      <w:lvlJc w:val="right"/>
      <w:pPr>
        <w:ind w:left="4144" w:hanging="180"/>
      </w:pPr>
    </w:lvl>
    <w:lvl w:ilvl="6" w:tplc="FFFFFFFF" w:tentative="1">
      <w:start w:val="1"/>
      <w:numFmt w:val="decimal"/>
      <w:lvlText w:val="%7."/>
      <w:lvlJc w:val="left"/>
      <w:pPr>
        <w:ind w:left="4864" w:hanging="360"/>
      </w:pPr>
    </w:lvl>
    <w:lvl w:ilvl="7" w:tplc="FFFFFFFF" w:tentative="1">
      <w:start w:val="1"/>
      <w:numFmt w:val="lowerLetter"/>
      <w:lvlText w:val="%8."/>
      <w:lvlJc w:val="left"/>
      <w:pPr>
        <w:ind w:left="5584" w:hanging="360"/>
      </w:pPr>
    </w:lvl>
    <w:lvl w:ilvl="8" w:tplc="FFFFFFFF" w:tentative="1">
      <w:start w:val="1"/>
      <w:numFmt w:val="lowerRoman"/>
      <w:lvlText w:val="%9."/>
      <w:lvlJc w:val="right"/>
      <w:pPr>
        <w:ind w:left="6304" w:hanging="180"/>
      </w:pPr>
    </w:lvl>
  </w:abstractNum>
  <w:abstractNum w:abstractNumId="10">
    <w:nsid w:val="40A65638"/>
    <w:multiLevelType w:val="hybridMultilevel"/>
    <w:tmpl w:val="BB14673E"/>
    <w:lvl w:ilvl="0" w:tplc="D108D9CE">
      <w:numFmt w:val="bullet"/>
      <w:lvlText w:val="-"/>
      <w:lvlJc w:val="left"/>
      <w:pPr>
        <w:ind w:left="360" w:hanging="360"/>
      </w:pPr>
      <w:rPr>
        <w:rFonts w:ascii="Calibri" w:eastAsiaTheme="minorHAnsi" w:hAnsi="Calibri" w:cstheme="minorBid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41CF7754"/>
    <w:multiLevelType w:val="hybridMultilevel"/>
    <w:tmpl w:val="FF18F574"/>
    <w:lvl w:ilvl="0" w:tplc="D108D9CE">
      <w:numFmt w:val="bullet"/>
      <w:lvlText w:val="-"/>
      <w:lvlJc w:val="left"/>
      <w:pPr>
        <w:ind w:left="720" w:hanging="360"/>
      </w:pPr>
      <w:rPr>
        <w:rFonts w:ascii="Calibri" w:eastAsiaTheme="minorHAnsi" w:hAnsi="Calibri"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461E2E3A"/>
    <w:multiLevelType w:val="hybridMultilevel"/>
    <w:tmpl w:val="946685C0"/>
    <w:lvl w:ilvl="0" w:tplc="CAE66246">
      <w:numFmt w:val="bullet"/>
      <w:lvlText w:val="-"/>
      <w:lvlJc w:val="left"/>
      <w:pPr>
        <w:ind w:left="360" w:hanging="360"/>
      </w:pPr>
      <w:rPr>
        <w:rFonts w:ascii="HelveticaNeueLT Std" w:eastAsiaTheme="minorHAnsi" w:hAnsi="HelveticaNeueLT Std"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492F57DE"/>
    <w:multiLevelType w:val="hybridMultilevel"/>
    <w:tmpl w:val="5502BA00"/>
    <w:lvl w:ilvl="0" w:tplc="B2B2DA90">
      <w:start w:val="1"/>
      <w:numFmt w:val="decimal"/>
      <w:pStyle w:val="TextDraft"/>
      <w:lvlText w:val="(%1)"/>
      <w:lvlJc w:val="right"/>
      <w:pPr>
        <w:ind w:left="184" w:hanging="360"/>
      </w:pPr>
      <w:rPr>
        <w:rFonts w:hint="default"/>
      </w:rPr>
    </w:lvl>
    <w:lvl w:ilvl="1" w:tplc="04090019">
      <w:start w:val="1"/>
      <w:numFmt w:val="lowerLetter"/>
      <w:lvlText w:val="%2."/>
      <w:lvlJc w:val="left"/>
      <w:pPr>
        <w:ind w:left="1264" w:hanging="360"/>
      </w:pPr>
    </w:lvl>
    <w:lvl w:ilvl="2" w:tplc="0409001B" w:tentative="1">
      <w:start w:val="1"/>
      <w:numFmt w:val="lowerRoman"/>
      <w:lvlText w:val="%3."/>
      <w:lvlJc w:val="right"/>
      <w:pPr>
        <w:ind w:left="1984" w:hanging="180"/>
      </w:pPr>
    </w:lvl>
    <w:lvl w:ilvl="3" w:tplc="0409000F" w:tentative="1">
      <w:start w:val="1"/>
      <w:numFmt w:val="decimal"/>
      <w:lvlText w:val="%4."/>
      <w:lvlJc w:val="left"/>
      <w:pPr>
        <w:ind w:left="2704" w:hanging="360"/>
      </w:pPr>
    </w:lvl>
    <w:lvl w:ilvl="4" w:tplc="04090019" w:tentative="1">
      <w:start w:val="1"/>
      <w:numFmt w:val="lowerLetter"/>
      <w:lvlText w:val="%5."/>
      <w:lvlJc w:val="left"/>
      <w:pPr>
        <w:ind w:left="3424" w:hanging="360"/>
      </w:pPr>
    </w:lvl>
    <w:lvl w:ilvl="5" w:tplc="0409001B" w:tentative="1">
      <w:start w:val="1"/>
      <w:numFmt w:val="lowerRoman"/>
      <w:lvlText w:val="%6."/>
      <w:lvlJc w:val="right"/>
      <w:pPr>
        <w:ind w:left="4144" w:hanging="180"/>
      </w:pPr>
    </w:lvl>
    <w:lvl w:ilvl="6" w:tplc="0409000F" w:tentative="1">
      <w:start w:val="1"/>
      <w:numFmt w:val="decimal"/>
      <w:lvlText w:val="%7."/>
      <w:lvlJc w:val="left"/>
      <w:pPr>
        <w:ind w:left="4864" w:hanging="360"/>
      </w:pPr>
    </w:lvl>
    <w:lvl w:ilvl="7" w:tplc="04090019" w:tentative="1">
      <w:start w:val="1"/>
      <w:numFmt w:val="lowerLetter"/>
      <w:lvlText w:val="%8."/>
      <w:lvlJc w:val="left"/>
      <w:pPr>
        <w:ind w:left="5584" w:hanging="360"/>
      </w:pPr>
    </w:lvl>
    <w:lvl w:ilvl="8" w:tplc="0409001B" w:tentative="1">
      <w:start w:val="1"/>
      <w:numFmt w:val="lowerRoman"/>
      <w:lvlText w:val="%9."/>
      <w:lvlJc w:val="right"/>
      <w:pPr>
        <w:ind w:left="6304" w:hanging="180"/>
      </w:pPr>
    </w:lvl>
  </w:abstractNum>
  <w:abstractNum w:abstractNumId="14">
    <w:nsid w:val="4B8E4405"/>
    <w:multiLevelType w:val="hybridMultilevel"/>
    <w:tmpl w:val="3356E102"/>
    <w:lvl w:ilvl="0" w:tplc="0C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4CEC3033"/>
    <w:multiLevelType w:val="multilevel"/>
    <w:tmpl w:val="A5621014"/>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2401558"/>
    <w:multiLevelType w:val="hybridMultilevel"/>
    <w:tmpl w:val="224C171C"/>
    <w:lvl w:ilvl="0" w:tplc="D4FEB246">
      <w:start w:val="1"/>
      <w:numFmt w:val="bullet"/>
      <w:lvlText w:val="•"/>
      <w:lvlJc w:val="left"/>
      <w:pPr>
        <w:tabs>
          <w:tab w:val="num" w:pos="720"/>
        </w:tabs>
        <w:ind w:left="720" w:hanging="360"/>
      </w:pPr>
      <w:rPr>
        <w:rFonts w:ascii="Arial" w:hAnsi="Arial" w:hint="default"/>
      </w:rPr>
    </w:lvl>
    <w:lvl w:ilvl="1" w:tplc="CE28794C">
      <w:start w:val="1"/>
      <w:numFmt w:val="bullet"/>
      <w:lvlText w:val="•"/>
      <w:lvlJc w:val="left"/>
      <w:pPr>
        <w:tabs>
          <w:tab w:val="num" w:pos="1440"/>
        </w:tabs>
        <w:ind w:left="1440" w:hanging="360"/>
      </w:pPr>
      <w:rPr>
        <w:rFonts w:ascii="Arial" w:hAnsi="Arial" w:hint="default"/>
      </w:rPr>
    </w:lvl>
    <w:lvl w:ilvl="2" w:tplc="C27C8650" w:tentative="1">
      <w:start w:val="1"/>
      <w:numFmt w:val="bullet"/>
      <w:lvlText w:val="•"/>
      <w:lvlJc w:val="left"/>
      <w:pPr>
        <w:tabs>
          <w:tab w:val="num" w:pos="2160"/>
        </w:tabs>
        <w:ind w:left="2160" w:hanging="360"/>
      </w:pPr>
      <w:rPr>
        <w:rFonts w:ascii="Arial" w:hAnsi="Arial" w:hint="default"/>
      </w:rPr>
    </w:lvl>
    <w:lvl w:ilvl="3" w:tplc="3F367190" w:tentative="1">
      <w:start w:val="1"/>
      <w:numFmt w:val="bullet"/>
      <w:lvlText w:val="•"/>
      <w:lvlJc w:val="left"/>
      <w:pPr>
        <w:tabs>
          <w:tab w:val="num" w:pos="2880"/>
        </w:tabs>
        <w:ind w:left="2880" w:hanging="360"/>
      </w:pPr>
      <w:rPr>
        <w:rFonts w:ascii="Arial" w:hAnsi="Arial" w:hint="default"/>
      </w:rPr>
    </w:lvl>
    <w:lvl w:ilvl="4" w:tplc="072C77F4" w:tentative="1">
      <w:start w:val="1"/>
      <w:numFmt w:val="bullet"/>
      <w:lvlText w:val="•"/>
      <w:lvlJc w:val="left"/>
      <w:pPr>
        <w:tabs>
          <w:tab w:val="num" w:pos="3600"/>
        </w:tabs>
        <w:ind w:left="3600" w:hanging="360"/>
      </w:pPr>
      <w:rPr>
        <w:rFonts w:ascii="Arial" w:hAnsi="Arial" w:hint="default"/>
      </w:rPr>
    </w:lvl>
    <w:lvl w:ilvl="5" w:tplc="344EEC68" w:tentative="1">
      <w:start w:val="1"/>
      <w:numFmt w:val="bullet"/>
      <w:lvlText w:val="•"/>
      <w:lvlJc w:val="left"/>
      <w:pPr>
        <w:tabs>
          <w:tab w:val="num" w:pos="4320"/>
        </w:tabs>
        <w:ind w:left="4320" w:hanging="360"/>
      </w:pPr>
      <w:rPr>
        <w:rFonts w:ascii="Arial" w:hAnsi="Arial" w:hint="default"/>
      </w:rPr>
    </w:lvl>
    <w:lvl w:ilvl="6" w:tplc="0AD6F672" w:tentative="1">
      <w:start w:val="1"/>
      <w:numFmt w:val="bullet"/>
      <w:lvlText w:val="•"/>
      <w:lvlJc w:val="left"/>
      <w:pPr>
        <w:tabs>
          <w:tab w:val="num" w:pos="5040"/>
        </w:tabs>
        <w:ind w:left="5040" w:hanging="360"/>
      </w:pPr>
      <w:rPr>
        <w:rFonts w:ascii="Arial" w:hAnsi="Arial" w:hint="default"/>
      </w:rPr>
    </w:lvl>
    <w:lvl w:ilvl="7" w:tplc="1874906E" w:tentative="1">
      <w:start w:val="1"/>
      <w:numFmt w:val="bullet"/>
      <w:lvlText w:val="•"/>
      <w:lvlJc w:val="left"/>
      <w:pPr>
        <w:tabs>
          <w:tab w:val="num" w:pos="5760"/>
        </w:tabs>
        <w:ind w:left="5760" w:hanging="360"/>
      </w:pPr>
      <w:rPr>
        <w:rFonts w:ascii="Arial" w:hAnsi="Arial" w:hint="default"/>
      </w:rPr>
    </w:lvl>
    <w:lvl w:ilvl="8" w:tplc="6E42553A" w:tentative="1">
      <w:start w:val="1"/>
      <w:numFmt w:val="bullet"/>
      <w:lvlText w:val="•"/>
      <w:lvlJc w:val="left"/>
      <w:pPr>
        <w:tabs>
          <w:tab w:val="num" w:pos="6480"/>
        </w:tabs>
        <w:ind w:left="6480" w:hanging="360"/>
      </w:pPr>
      <w:rPr>
        <w:rFonts w:ascii="Arial" w:hAnsi="Arial" w:hint="default"/>
      </w:rPr>
    </w:lvl>
  </w:abstractNum>
  <w:abstractNum w:abstractNumId="17">
    <w:nsid w:val="618D1C7E"/>
    <w:multiLevelType w:val="hybridMultilevel"/>
    <w:tmpl w:val="933CF614"/>
    <w:lvl w:ilvl="0" w:tplc="0CA8CC04">
      <w:start w:val="1"/>
      <w:numFmt w:val="decimal"/>
      <w:lvlText w:val="(%1)"/>
      <w:lvlJc w:val="left"/>
      <w:pPr>
        <w:tabs>
          <w:tab w:val="num" w:pos="720"/>
        </w:tabs>
        <w:ind w:left="720" w:hanging="360"/>
      </w:pPr>
    </w:lvl>
    <w:lvl w:ilvl="1" w:tplc="717E92D8" w:tentative="1">
      <w:start w:val="1"/>
      <w:numFmt w:val="decimal"/>
      <w:lvlText w:val="(%2)"/>
      <w:lvlJc w:val="left"/>
      <w:pPr>
        <w:tabs>
          <w:tab w:val="num" w:pos="1440"/>
        </w:tabs>
        <w:ind w:left="1440" w:hanging="360"/>
      </w:pPr>
    </w:lvl>
    <w:lvl w:ilvl="2" w:tplc="02528748" w:tentative="1">
      <w:start w:val="1"/>
      <w:numFmt w:val="decimal"/>
      <w:lvlText w:val="(%3)"/>
      <w:lvlJc w:val="left"/>
      <w:pPr>
        <w:tabs>
          <w:tab w:val="num" w:pos="2160"/>
        </w:tabs>
        <w:ind w:left="2160" w:hanging="360"/>
      </w:pPr>
    </w:lvl>
    <w:lvl w:ilvl="3" w:tplc="43EC4168" w:tentative="1">
      <w:start w:val="1"/>
      <w:numFmt w:val="decimal"/>
      <w:lvlText w:val="(%4)"/>
      <w:lvlJc w:val="left"/>
      <w:pPr>
        <w:tabs>
          <w:tab w:val="num" w:pos="2880"/>
        </w:tabs>
        <w:ind w:left="2880" w:hanging="360"/>
      </w:pPr>
    </w:lvl>
    <w:lvl w:ilvl="4" w:tplc="C4429548" w:tentative="1">
      <w:start w:val="1"/>
      <w:numFmt w:val="decimal"/>
      <w:lvlText w:val="(%5)"/>
      <w:lvlJc w:val="left"/>
      <w:pPr>
        <w:tabs>
          <w:tab w:val="num" w:pos="3600"/>
        </w:tabs>
        <w:ind w:left="3600" w:hanging="360"/>
      </w:pPr>
    </w:lvl>
    <w:lvl w:ilvl="5" w:tplc="6F7EB818" w:tentative="1">
      <w:start w:val="1"/>
      <w:numFmt w:val="decimal"/>
      <w:lvlText w:val="(%6)"/>
      <w:lvlJc w:val="left"/>
      <w:pPr>
        <w:tabs>
          <w:tab w:val="num" w:pos="4320"/>
        </w:tabs>
        <w:ind w:left="4320" w:hanging="360"/>
      </w:pPr>
    </w:lvl>
    <w:lvl w:ilvl="6" w:tplc="E104E7EA" w:tentative="1">
      <w:start w:val="1"/>
      <w:numFmt w:val="decimal"/>
      <w:lvlText w:val="(%7)"/>
      <w:lvlJc w:val="left"/>
      <w:pPr>
        <w:tabs>
          <w:tab w:val="num" w:pos="5040"/>
        </w:tabs>
        <w:ind w:left="5040" w:hanging="360"/>
      </w:pPr>
    </w:lvl>
    <w:lvl w:ilvl="7" w:tplc="9B185E06" w:tentative="1">
      <w:start w:val="1"/>
      <w:numFmt w:val="decimal"/>
      <w:lvlText w:val="(%8)"/>
      <w:lvlJc w:val="left"/>
      <w:pPr>
        <w:tabs>
          <w:tab w:val="num" w:pos="5760"/>
        </w:tabs>
        <w:ind w:left="5760" w:hanging="360"/>
      </w:pPr>
    </w:lvl>
    <w:lvl w:ilvl="8" w:tplc="7B561CB8" w:tentative="1">
      <w:start w:val="1"/>
      <w:numFmt w:val="decimal"/>
      <w:lvlText w:val="(%9)"/>
      <w:lvlJc w:val="left"/>
      <w:pPr>
        <w:tabs>
          <w:tab w:val="num" w:pos="6480"/>
        </w:tabs>
        <w:ind w:left="6480" w:hanging="360"/>
      </w:pPr>
    </w:lvl>
  </w:abstractNum>
  <w:abstractNum w:abstractNumId="18">
    <w:nsid w:val="6E1441B7"/>
    <w:multiLevelType w:val="multilevel"/>
    <w:tmpl w:val="95101A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F223665"/>
    <w:multiLevelType w:val="multilevel"/>
    <w:tmpl w:val="1326D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34D19EC"/>
    <w:multiLevelType w:val="hybridMultilevel"/>
    <w:tmpl w:val="711814E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74CC7D01"/>
    <w:multiLevelType w:val="hybridMultilevel"/>
    <w:tmpl w:val="C1CAEC24"/>
    <w:lvl w:ilvl="0" w:tplc="B8F4E80A">
      <w:start w:val="1"/>
      <w:numFmt w:val="decimal"/>
      <w:lvlText w:val="(%1)"/>
      <w:lvlJc w:val="left"/>
      <w:pPr>
        <w:tabs>
          <w:tab w:val="num" w:pos="720"/>
        </w:tabs>
        <w:ind w:left="720" w:hanging="360"/>
      </w:pPr>
    </w:lvl>
    <w:lvl w:ilvl="1" w:tplc="5E404BDA">
      <w:start w:val="1"/>
      <w:numFmt w:val="decimal"/>
      <w:lvlText w:val="(%2)"/>
      <w:lvlJc w:val="left"/>
      <w:pPr>
        <w:tabs>
          <w:tab w:val="num" w:pos="1440"/>
        </w:tabs>
        <w:ind w:left="1440" w:hanging="360"/>
      </w:pPr>
    </w:lvl>
    <w:lvl w:ilvl="2" w:tplc="376C880C" w:tentative="1">
      <w:start w:val="1"/>
      <w:numFmt w:val="decimal"/>
      <w:lvlText w:val="(%3)"/>
      <w:lvlJc w:val="left"/>
      <w:pPr>
        <w:tabs>
          <w:tab w:val="num" w:pos="2160"/>
        </w:tabs>
        <w:ind w:left="2160" w:hanging="360"/>
      </w:pPr>
    </w:lvl>
    <w:lvl w:ilvl="3" w:tplc="AF607EB4" w:tentative="1">
      <w:start w:val="1"/>
      <w:numFmt w:val="decimal"/>
      <w:lvlText w:val="(%4)"/>
      <w:lvlJc w:val="left"/>
      <w:pPr>
        <w:tabs>
          <w:tab w:val="num" w:pos="2880"/>
        </w:tabs>
        <w:ind w:left="2880" w:hanging="360"/>
      </w:pPr>
    </w:lvl>
    <w:lvl w:ilvl="4" w:tplc="2538563A" w:tentative="1">
      <w:start w:val="1"/>
      <w:numFmt w:val="decimal"/>
      <w:lvlText w:val="(%5)"/>
      <w:lvlJc w:val="left"/>
      <w:pPr>
        <w:tabs>
          <w:tab w:val="num" w:pos="3600"/>
        </w:tabs>
        <w:ind w:left="3600" w:hanging="360"/>
      </w:pPr>
    </w:lvl>
    <w:lvl w:ilvl="5" w:tplc="47B662BC" w:tentative="1">
      <w:start w:val="1"/>
      <w:numFmt w:val="decimal"/>
      <w:lvlText w:val="(%6)"/>
      <w:lvlJc w:val="left"/>
      <w:pPr>
        <w:tabs>
          <w:tab w:val="num" w:pos="4320"/>
        </w:tabs>
        <w:ind w:left="4320" w:hanging="360"/>
      </w:pPr>
    </w:lvl>
    <w:lvl w:ilvl="6" w:tplc="357082DA" w:tentative="1">
      <w:start w:val="1"/>
      <w:numFmt w:val="decimal"/>
      <w:lvlText w:val="(%7)"/>
      <w:lvlJc w:val="left"/>
      <w:pPr>
        <w:tabs>
          <w:tab w:val="num" w:pos="5040"/>
        </w:tabs>
        <w:ind w:left="5040" w:hanging="360"/>
      </w:pPr>
    </w:lvl>
    <w:lvl w:ilvl="7" w:tplc="53DED356" w:tentative="1">
      <w:start w:val="1"/>
      <w:numFmt w:val="decimal"/>
      <w:lvlText w:val="(%8)"/>
      <w:lvlJc w:val="left"/>
      <w:pPr>
        <w:tabs>
          <w:tab w:val="num" w:pos="5760"/>
        </w:tabs>
        <w:ind w:left="5760" w:hanging="360"/>
      </w:pPr>
    </w:lvl>
    <w:lvl w:ilvl="8" w:tplc="2ED60FE0" w:tentative="1">
      <w:start w:val="1"/>
      <w:numFmt w:val="decimal"/>
      <w:lvlText w:val="(%9)"/>
      <w:lvlJc w:val="left"/>
      <w:pPr>
        <w:tabs>
          <w:tab w:val="num" w:pos="6480"/>
        </w:tabs>
        <w:ind w:left="6480" w:hanging="360"/>
      </w:pPr>
    </w:lvl>
  </w:abstractNum>
  <w:abstractNum w:abstractNumId="22">
    <w:nsid w:val="7FD97B25"/>
    <w:multiLevelType w:val="multilevel"/>
    <w:tmpl w:val="F6D29C8A"/>
    <w:lvl w:ilvl="0">
      <w:start w:val="1"/>
      <w:numFmt w:val="decimal"/>
      <w:pStyle w:val="TextListnumbered"/>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6"/>
  </w:num>
  <w:num w:numId="2">
    <w:abstractNumId w:val="13"/>
  </w:num>
  <w:num w:numId="3">
    <w:abstractNumId w:val="10"/>
  </w:num>
  <w:num w:numId="4">
    <w:abstractNumId w:val="17"/>
  </w:num>
  <w:num w:numId="5">
    <w:abstractNumId w:val="14"/>
  </w:num>
  <w:num w:numId="6">
    <w:abstractNumId w:val="11"/>
  </w:num>
  <w:num w:numId="7">
    <w:abstractNumId w:val="16"/>
  </w:num>
  <w:num w:numId="8">
    <w:abstractNumId w:val="22"/>
  </w:num>
  <w:num w:numId="9">
    <w:abstractNumId w:val="9"/>
  </w:num>
  <w:num w:numId="10">
    <w:abstractNumId w:val="13"/>
  </w:num>
  <w:num w:numId="11">
    <w:abstractNumId w:val="0"/>
  </w:num>
  <w:num w:numId="12">
    <w:abstractNumId w:val="5"/>
  </w:num>
  <w:num w:numId="13">
    <w:abstractNumId w:val="15"/>
  </w:num>
  <w:num w:numId="14">
    <w:abstractNumId w:val="21"/>
  </w:num>
  <w:num w:numId="15">
    <w:abstractNumId w:val="20"/>
  </w:num>
  <w:num w:numId="16">
    <w:abstractNumId w:val="18"/>
  </w:num>
  <w:num w:numId="17">
    <w:abstractNumId w:val="1"/>
  </w:num>
  <w:num w:numId="18">
    <w:abstractNumId w:val="2"/>
  </w:num>
  <w:num w:numId="19">
    <w:abstractNumId w:val="4"/>
  </w:num>
  <w:num w:numId="20">
    <w:abstractNumId w:val="3"/>
  </w:num>
  <w:num w:numId="21">
    <w:abstractNumId w:val="7"/>
  </w:num>
  <w:num w:numId="22">
    <w:abstractNumId w:val="19"/>
  </w:num>
  <w:num w:numId="23">
    <w:abstractNumId w:val="8"/>
  </w:num>
  <w:num w:numId="24">
    <w:abstractNumId w:val="13"/>
  </w:num>
  <w:num w:numId="25">
    <w:abstractNumId w:val="13"/>
  </w:num>
  <w:num w:numId="26">
    <w:abstractNumId w:val="13"/>
  </w:num>
  <w:num w:numId="27">
    <w:abstractNumId w:val="13"/>
  </w:num>
  <w:num w:numId="28">
    <w:abstractNumId w:val="12"/>
  </w:num>
  <w:num w:numId="29">
    <w:abstractNumId w:val="13"/>
  </w:num>
  <w:num w:numId="30">
    <w:abstractNumId w:val="13"/>
  </w:num>
  <w:num w:numId="31">
    <w:abstractNumId w:val="13"/>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72732E"/>
    <w:rsid w:val="00033D98"/>
    <w:rsid w:val="000641A8"/>
    <w:rsid w:val="000929A5"/>
    <w:rsid w:val="000B36CC"/>
    <w:rsid w:val="00174493"/>
    <w:rsid w:val="001763B7"/>
    <w:rsid w:val="001943BA"/>
    <w:rsid w:val="001D5C24"/>
    <w:rsid w:val="002002FF"/>
    <w:rsid w:val="00213A7A"/>
    <w:rsid w:val="0022361A"/>
    <w:rsid w:val="00266F55"/>
    <w:rsid w:val="0027046D"/>
    <w:rsid w:val="002A2CD8"/>
    <w:rsid w:val="002C59E9"/>
    <w:rsid w:val="00300E5B"/>
    <w:rsid w:val="0031207E"/>
    <w:rsid w:val="003128FB"/>
    <w:rsid w:val="0032259F"/>
    <w:rsid w:val="00323A1F"/>
    <w:rsid w:val="00341039"/>
    <w:rsid w:val="00342FC9"/>
    <w:rsid w:val="00351011"/>
    <w:rsid w:val="00352F47"/>
    <w:rsid w:val="0036050E"/>
    <w:rsid w:val="00365FD8"/>
    <w:rsid w:val="00371F99"/>
    <w:rsid w:val="00376447"/>
    <w:rsid w:val="003C0C47"/>
    <w:rsid w:val="003C380C"/>
    <w:rsid w:val="003C5E28"/>
    <w:rsid w:val="00406D6F"/>
    <w:rsid w:val="00412DB9"/>
    <w:rsid w:val="0041681F"/>
    <w:rsid w:val="00443178"/>
    <w:rsid w:val="00456687"/>
    <w:rsid w:val="0049703B"/>
    <w:rsid w:val="004A36FE"/>
    <w:rsid w:val="004B2F83"/>
    <w:rsid w:val="004B4C79"/>
    <w:rsid w:val="004D18E4"/>
    <w:rsid w:val="004E5A9D"/>
    <w:rsid w:val="004E75BC"/>
    <w:rsid w:val="0052201D"/>
    <w:rsid w:val="00532687"/>
    <w:rsid w:val="00552032"/>
    <w:rsid w:val="0055383D"/>
    <w:rsid w:val="0056058D"/>
    <w:rsid w:val="0056246C"/>
    <w:rsid w:val="00590903"/>
    <w:rsid w:val="005935A9"/>
    <w:rsid w:val="005A2896"/>
    <w:rsid w:val="005C1C7A"/>
    <w:rsid w:val="005C4EBF"/>
    <w:rsid w:val="005C7EAF"/>
    <w:rsid w:val="005D5BCA"/>
    <w:rsid w:val="005D6340"/>
    <w:rsid w:val="005E0321"/>
    <w:rsid w:val="006306D1"/>
    <w:rsid w:val="0064421B"/>
    <w:rsid w:val="00696DB3"/>
    <w:rsid w:val="006A4C9F"/>
    <w:rsid w:val="006B770F"/>
    <w:rsid w:val="0070059B"/>
    <w:rsid w:val="00715DB2"/>
    <w:rsid w:val="0072732E"/>
    <w:rsid w:val="0074270C"/>
    <w:rsid w:val="00776071"/>
    <w:rsid w:val="00776759"/>
    <w:rsid w:val="0078021C"/>
    <w:rsid w:val="007B1E4F"/>
    <w:rsid w:val="007B53B9"/>
    <w:rsid w:val="007B5DB5"/>
    <w:rsid w:val="007D1E5A"/>
    <w:rsid w:val="007E0E41"/>
    <w:rsid w:val="007E0F3B"/>
    <w:rsid w:val="00823814"/>
    <w:rsid w:val="00826616"/>
    <w:rsid w:val="00826701"/>
    <w:rsid w:val="0088636D"/>
    <w:rsid w:val="008A15EB"/>
    <w:rsid w:val="008F1109"/>
    <w:rsid w:val="0090536B"/>
    <w:rsid w:val="00914734"/>
    <w:rsid w:val="00917022"/>
    <w:rsid w:val="00943B1F"/>
    <w:rsid w:val="00954788"/>
    <w:rsid w:val="00980FA2"/>
    <w:rsid w:val="00984ECE"/>
    <w:rsid w:val="009A788D"/>
    <w:rsid w:val="009B0544"/>
    <w:rsid w:val="009B307C"/>
    <w:rsid w:val="009D4B92"/>
    <w:rsid w:val="00A75733"/>
    <w:rsid w:val="00AB2EA3"/>
    <w:rsid w:val="00AB49A8"/>
    <w:rsid w:val="00AC385D"/>
    <w:rsid w:val="00AD04D1"/>
    <w:rsid w:val="00AE3AFE"/>
    <w:rsid w:val="00AE535A"/>
    <w:rsid w:val="00B30E5B"/>
    <w:rsid w:val="00B32125"/>
    <w:rsid w:val="00B87B71"/>
    <w:rsid w:val="00C24C63"/>
    <w:rsid w:val="00C565B9"/>
    <w:rsid w:val="00C82A15"/>
    <w:rsid w:val="00C90DF4"/>
    <w:rsid w:val="00C957EE"/>
    <w:rsid w:val="00C9663C"/>
    <w:rsid w:val="00CA0271"/>
    <w:rsid w:val="00CB22F7"/>
    <w:rsid w:val="00CC5DAC"/>
    <w:rsid w:val="00CF178B"/>
    <w:rsid w:val="00D23E2F"/>
    <w:rsid w:val="00D27734"/>
    <w:rsid w:val="00D317CC"/>
    <w:rsid w:val="00D5565A"/>
    <w:rsid w:val="00D70A3D"/>
    <w:rsid w:val="00D7771D"/>
    <w:rsid w:val="00D9081C"/>
    <w:rsid w:val="00D97F62"/>
    <w:rsid w:val="00DB2074"/>
    <w:rsid w:val="00DC0353"/>
    <w:rsid w:val="00DC5504"/>
    <w:rsid w:val="00DD4EA3"/>
    <w:rsid w:val="00DF130F"/>
    <w:rsid w:val="00E110F7"/>
    <w:rsid w:val="00E24D72"/>
    <w:rsid w:val="00E3725A"/>
    <w:rsid w:val="00E45B40"/>
    <w:rsid w:val="00E46B01"/>
    <w:rsid w:val="00E62D65"/>
    <w:rsid w:val="00E8665A"/>
    <w:rsid w:val="00E92051"/>
    <w:rsid w:val="00EA5B91"/>
    <w:rsid w:val="00EC5239"/>
    <w:rsid w:val="00ED3290"/>
    <w:rsid w:val="00ED5794"/>
    <w:rsid w:val="00EF7B56"/>
    <w:rsid w:val="00F172ED"/>
    <w:rsid w:val="00F86232"/>
    <w:rsid w:val="00FC6098"/>
    <w:rsid w:val="00FC6831"/>
    <w:rsid w:val="00FD44BE"/>
    <w:rsid w:val="00FF5AC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A3D"/>
  </w:style>
  <w:style w:type="paragraph" w:styleId="Ttulo1">
    <w:name w:val="heading 1"/>
    <w:basedOn w:val="Normal"/>
    <w:next w:val="Normal"/>
    <w:link w:val="Ttulo1Car"/>
    <w:uiPriority w:val="9"/>
    <w:qFormat/>
    <w:rsid w:val="007273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link w:val="Ttulo2Car"/>
    <w:autoRedefine/>
    <w:uiPriority w:val="9"/>
    <w:qFormat/>
    <w:rsid w:val="0070059B"/>
    <w:pPr>
      <w:spacing w:before="100" w:beforeAutospacing="1" w:after="100" w:afterAutospacing="1" w:line="240" w:lineRule="auto"/>
      <w:outlineLvl w:val="1"/>
    </w:pPr>
    <w:rPr>
      <w:rFonts w:asciiTheme="majorHAnsi" w:eastAsia="Times New Roman" w:hAnsiTheme="majorHAnsi" w:cs="Times New Roman"/>
      <w:b/>
      <w:bCs/>
      <w:sz w:val="28"/>
      <w:szCs w:val="36"/>
      <w:lang w:eastAsia="es-ES"/>
    </w:rPr>
  </w:style>
  <w:style w:type="paragraph" w:styleId="Ttulo3">
    <w:name w:val="heading 3"/>
    <w:basedOn w:val="Normal"/>
    <w:next w:val="Normal"/>
    <w:link w:val="Ttulo3Car"/>
    <w:uiPriority w:val="9"/>
    <w:unhideWhenUsed/>
    <w:qFormat/>
    <w:rsid w:val="0072732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72732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2732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2732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2732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2732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2732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70059B"/>
    <w:rPr>
      <w:rFonts w:asciiTheme="majorHAnsi" w:eastAsia="Times New Roman" w:hAnsiTheme="majorHAnsi" w:cs="Times New Roman"/>
      <w:b/>
      <w:bCs/>
      <w:sz w:val="28"/>
      <w:szCs w:val="36"/>
      <w:lang w:eastAsia="es-ES"/>
    </w:rPr>
  </w:style>
  <w:style w:type="character" w:customStyle="1" w:styleId="Ttulo1Car">
    <w:name w:val="Título 1 Car"/>
    <w:basedOn w:val="Fuentedeprrafopredeter"/>
    <w:link w:val="Ttulo1"/>
    <w:uiPriority w:val="9"/>
    <w:rsid w:val="0072732E"/>
    <w:rPr>
      <w:rFonts w:asciiTheme="majorHAnsi" w:eastAsiaTheme="majorEastAsia" w:hAnsiTheme="majorHAnsi" w:cstheme="majorBidi"/>
      <w:color w:val="0F4761" w:themeColor="accent1" w:themeShade="BF"/>
      <w:sz w:val="40"/>
      <w:szCs w:val="40"/>
    </w:rPr>
  </w:style>
  <w:style w:type="character" w:customStyle="1" w:styleId="Ttulo3Car">
    <w:name w:val="Título 3 Car"/>
    <w:basedOn w:val="Fuentedeprrafopredeter"/>
    <w:link w:val="Ttulo3"/>
    <w:uiPriority w:val="9"/>
    <w:rsid w:val="0072732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2732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2732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2732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2732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2732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2732E"/>
    <w:rPr>
      <w:rFonts w:eastAsiaTheme="majorEastAsia" w:cstheme="majorBidi"/>
      <w:color w:val="272727" w:themeColor="text1" w:themeTint="D8"/>
    </w:rPr>
  </w:style>
  <w:style w:type="paragraph" w:styleId="Ttulo">
    <w:name w:val="Title"/>
    <w:basedOn w:val="Normal"/>
    <w:next w:val="Normal"/>
    <w:link w:val="TtuloCar"/>
    <w:uiPriority w:val="10"/>
    <w:qFormat/>
    <w:rsid w:val="007273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2732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2732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2732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2732E"/>
    <w:pPr>
      <w:spacing w:before="160"/>
      <w:jc w:val="center"/>
    </w:pPr>
    <w:rPr>
      <w:i/>
      <w:iCs/>
      <w:color w:val="404040" w:themeColor="text1" w:themeTint="BF"/>
    </w:rPr>
  </w:style>
  <w:style w:type="character" w:customStyle="1" w:styleId="CitaCar">
    <w:name w:val="Cita Car"/>
    <w:basedOn w:val="Fuentedeprrafopredeter"/>
    <w:link w:val="Cita"/>
    <w:uiPriority w:val="29"/>
    <w:rsid w:val="0072732E"/>
    <w:rPr>
      <w:i/>
      <w:iCs/>
      <w:color w:val="404040" w:themeColor="text1" w:themeTint="BF"/>
    </w:rPr>
  </w:style>
  <w:style w:type="paragraph" w:styleId="Prrafodelista">
    <w:name w:val="List Paragraph"/>
    <w:basedOn w:val="Normal"/>
    <w:uiPriority w:val="34"/>
    <w:qFormat/>
    <w:rsid w:val="0072732E"/>
    <w:pPr>
      <w:ind w:left="720"/>
      <w:contextualSpacing/>
    </w:pPr>
  </w:style>
  <w:style w:type="character" w:styleId="nfasisintenso">
    <w:name w:val="Intense Emphasis"/>
    <w:basedOn w:val="Fuentedeprrafopredeter"/>
    <w:uiPriority w:val="21"/>
    <w:qFormat/>
    <w:rsid w:val="0072732E"/>
    <w:rPr>
      <w:i/>
      <w:iCs/>
      <w:color w:val="0F4761" w:themeColor="accent1" w:themeShade="BF"/>
    </w:rPr>
  </w:style>
  <w:style w:type="paragraph" w:styleId="Citadestacada">
    <w:name w:val="Intense Quote"/>
    <w:basedOn w:val="Normal"/>
    <w:next w:val="Normal"/>
    <w:link w:val="CitadestacadaCar"/>
    <w:uiPriority w:val="30"/>
    <w:qFormat/>
    <w:rsid w:val="007273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2732E"/>
    <w:rPr>
      <w:i/>
      <w:iCs/>
      <w:color w:val="0F4761" w:themeColor="accent1" w:themeShade="BF"/>
    </w:rPr>
  </w:style>
  <w:style w:type="character" w:styleId="Referenciaintensa">
    <w:name w:val="Intense Reference"/>
    <w:basedOn w:val="Fuentedeprrafopredeter"/>
    <w:uiPriority w:val="32"/>
    <w:qFormat/>
    <w:rsid w:val="0072732E"/>
    <w:rPr>
      <w:b/>
      <w:bCs/>
      <w:smallCaps/>
      <w:color w:val="0F4761" w:themeColor="accent1" w:themeShade="BF"/>
      <w:spacing w:val="5"/>
    </w:rPr>
  </w:style>
  <w:style w:type="character" w:styleId="Hipervnculo">
    <w:name w:val="Hyperlink"/>
    <w:basedOn w:val="Fuentedeprrafopredeter"/>
    <w:uiPriority w:val="99"/>
    <w:unhideWhenUsed/>
    <w:rsid w:val="00B87B71"/>
    <w:rPr>
      <w:color w:val="467886" w:themeColor="hyperlink"/>
      <w:u w:val="single"/>
    </w:rPr>
  </w:style>
  <w:style w:type="character" w:customStyle="1" w:styleId="Mencinsinresolver1">
    <w:name w:val="Mención sin resolver1"/>
    <w:basedOn w:val="Fuentedeprrafopredeter"/>
    <w:uiPriority w:val="99"/>
    <w:semiHidden/>
    <w:unhideWhenUsed/>
    <w:rsid w:val="00B87B71"/>
    <w:rPr>
      <w:color w:val="605E5C"/>
      <w:shd w:val="clear" w:color="auto" w:fill="E1DFDD"/>
    </w:rPr>
  </w:style>
  <w:style w:type="paragraph" w:customStyle="1" w:styleId="TextDraft">
    <w:name w:val="Text Draft"/>
    <w:basedOn w:val="Normal"/>
    <w:qFormat/>
    <w:rsid w:val="00EA5B91"/>
    <w:pPr>
      <w:numPr>
        <w:numId w:val="2"/>
      </w:numPr>
      <w:spacing w:before="200" w:after="200" w:line="264" w:lineRule="auto"/>
      <w:jc w:val="both"/>
    </w:pPr>
    <w:rPr>
      <w:rFonts w:ascii="HelveticaNeueLT Std" w:hAnsi="HelveticaNeueLT Std"/>
      <w:kern w:val="0"/>
      <w:sz w:val="20"/>
      <w:szCs w:val="20"/>
      <w:lang w:val="en-GB"/>
    </w:rPr>
  </w:style>
  <w:style w:type="paragraph" w:styleId="NormalWeb">
    <w:name w:val="Normal (Web)"/>
    <w:basedOn w:val="Normal"/>
    <w:uiPriority w:val="99"/>
    <w:semiHidden/>
    <w:unhideWhenUsed/>
    <w:rsid w:val="00EA5B91"/>
    <w:pPr>
      <w:spacing w:before="100" w:beforeAutospacing="1" w:after="100" w:afterAutospacing="1" w:line="240" w:lineRule="auto"/>
    </w:pPr>
    <w:rPr>
      <w:rFonts w:ascii="Times New Roman" w:eastAsia="Times New Roman" w:hAnsi="Times New Roman" w:cs="Times New Roman"/>
      <w:kern w:val="0"/>
      <w:sz w:val="24"/>
      <w:szCs w:val="24"/>
      <w:lang w:eastAsia="es-ES"/>
    </w:rPr>
  </w:style>
  <w:style w:type="character" w:styleId="Refdecomentario">
    <w:name w:val="annotation reference"/>
    <w:basedOn w:val="Fuentedeprrafopredeter"/>
    <w:uiPriority w:val="99"/>
    <w:semiHidden/>
    <w:unhideWhenUsed/>
    <w:rsid w:val="00954788"/>
    <w:rPr>
      <w:sz w:val="16"/>
      <w:szCs w:val="16"/>
    </w:rPr>
  </w:style>
  <w:style w:type="paragraph" w:styleId="Textocomentario">
    <w:name w:val="annotation text"/>
    <w:basedOn w:val="Normal"/>
    <w:link w:val="TextocomentarioCar"/>
    <w:uiPriority w:val="99"/>
    <w:unhideWhenUsed/>
    <w:rsid w:val="00954788"/>
    <w:pPr>
      <w:spacing w:line="240" w:lineRule="auto"/>
    </w:pPr>
    <w:rPr>
      <w:sz w:val="20"/>
      <w:szCs w:val="20"/>
    </w:rPr>
  </w:style>
  <w:style w:type="character" w:customStyle="1" w:styleId="TextocomentarioCar">
    <w:name w:val="Texto comentario Car"/>
    <w:basedOn w:val="Fuentedeprrafopredeter"/>
    <w:link w:val="Textocomentario"/>
    <w:uiPriority w:val="99"/>
    <w:rsid w:val="00954788"/>
    <w:rPr>
      <w:sz w:val="20"/>
      <w:szCs w:val="20"/>
    </w:rPr>
  </w:style>
  <w:style w:type="paragraph" w:styleId="Asuntodelcomentario">
    <w:name w:val="annotation subject"/>
    <w:basedOn w:val="Textocomentario"/>
    <w:next w:val="Textocomentario"/>
    <w:link w:val="AsuntodelcomentarioCar"/>
    <w:uiPriority w:val="99"/>
    <w:semiHidden/>
    <w:unhideWhenUsed/>
    <w:rsid w:val="00954788"/>
    <w:rPr>
      <w:b/>
      <w:bCs/>
    </w:rPr>
  </w:style>
  <w:style w:type="character" w:customStyle="1" w:styleId="AsuntodelcomentarioCar">
    <w:name w:val="Asunto del comentario Car"/>
    <w:basedOn w:val="TextocomentarioCar"/>
    <w:link w:val="Asuntodelcomentario"/>
    <w:uiPriority w:val="99"/>
    <w:semiHidden/>
    <w:rsid w:val="00954788"/>
    <w:rPr>
      <w:b/>
      <w:bCs/>
      <w:sz w:val="20"/>
      <w:szCs w:val="20"/>
    </w:rPr>
  </w:style>
  <w:style w:type="paragraph" w:customStyle="1" w:styleId="TextListnumbered">
    <w:name w:val="Text List numbered"/>
    <w:basedOn w:val="Normal"/>
    <w:qFormat/>
    <w:rsid w:val="0032259F"/>
    <w:pPr>
      <w:numPr>
        <w:numId w:val="8"/>
      </w:numPr>
      <w:spacing w:before="80" w:after="80" w:line="264" w:lineRule="auto"/>
      <w:jc w:val="both"/>
    </w:pPr>
    <w:rPr>
      <w:rFonts w:ascii="HelveticaNeueLT Std" w:hAnsi="HelveticaNeueLT Std"/>
      <w:kern w:val="0"/>
      <w:sz w:val="20"/>
      <w:szCs w:val="20"/>
      <w:lang w:val="en-GB"/>
    </w:rPr>
  </w:style>
  <w:style w:type="paragraph" w:customStyle="1" w:styleId="Default">
    <w:name w:val="Default"/>
    <w:rsid w:val="0078021C"/>
    <w:pPr>
      <w:autoSpaceDE w:val="0"/>
      <w:autoSpaceDN w:val="0"/>
      <w:adjustRightInd w:val="0"/>
      <w:spacing w:after="0" w:line="240" w:lineRule="auto"/>
    </w:pPr>
    <w:rPr>
      <w:rFonts w:ascii="Avenir Next LT Pro" w:hAnsi="Avenir Next LT Pro" w:cs="Avenir Next LT Pro"/>
      <w:color w:val="000000"/>
      <w:kern w:val="0"/>
      <w:sz w:val="24"/>
      <w:szCs w:val="24"/>
    </w:rPr>
  </w:style>
  <w:style w:type="paragraph" w:styleId="z-Principiodelformulario">
    <w:name w:val="HTML Top of Form"/>
    <w:basedOn w:val="Normal"/>
    <w:next w:val="Normal"/>
    <w:link w:val="z-PrincipiodelformularioCar"/>
    <w:hidden/>
    <w:uiPriority w:val="99"/>
    <w:semiHidden/>
    <w:unhideWhenUsed/>
    <w:rsid w:val="0078021C"/>
    <w:pPr>
      <w:pBdr>
        <w:bottom w:val="single" w:sz="6" w:space="1" w:color="auto"/>
      </w:pBdr>
      <w:spacing w:after="0" w:line="240" w:lineRule="auto"/>
      <w:jc w:val="center"/>
    </w:pPr>
    <w:rPr>
      <w:rFonts w:ascii="Arial" w:eastAsia="Times New Roman" w:hAnsi="Arial" w:cs="Arial"/>
      <w:vanish/>
      <w:kern w:val="0"/>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78021C"/>
    <w:rPr>
      <w:rFonts w:ascii="Arial" w:eastAsia="Times New Roman" w:hAnsi="Arial" w:cs="Arial"/>
      <w:vanish/>
      <w:kern w:val="0"/>
      <w:sz w:val="16"/>
      <w:szCs w:val="16"/>
      <w:lang w:eastAsia="es-ES"/>
    </w:rPr>
  </w:style>
  <w:style w:type="paragraph" w:customStyle="1" w:styleId="HeadingToC">
    <w:name w:val="Heading ToC"/>
    <w:basedOn w:val="Ttulo1"/>
    <w:next w:val="TDC1"/>
    <w:qFormat/>
    <w:rsid w:val="005E0321"/>
    <w:pPr>
      <w:keepLines w:val="0"/>
      <w:spacing w:before="0" w:after="200" w:line="192" w:lineRule="auto"/>
      <w:outlineLvl w:val="9"/>
    </w:pPr>
    <w:rPr>
      <w:rFonts w:ascii="Domus Titling Extrabold" w:eastAsiaTheme="minorHAnsi" w:hAnsi="Domus Titling Extrabold" w:cstheme="minorBidi"/>
      <w:color w:val="FFCC00"/>
      <w:spacing w:val="10"/>
      <w:kern w:val="0"/>
      <w:sz w:val="28"/>
      <w:szCs w:val="28"/>
      <w:lang w:val="en-GB"/>
    </w:rPr>
  </w:style>
  <w:style w:type="paragraph" w:styleId="TDC1">
    <w:name w:val="toc 1"/>
    <w:basedOn w:val="Normal"/>
    <w:next w:val="Normal"/>
    <w:autoRedefine/>
    <w:uiPriority w:val="39"/>
    <w:semiHidden/>
    <w:unhideWhenUsed/>
    <w:rsid w:val="005E0321"/>
    <w:pPr>
      <w:spacing w:after="100"/>
    </w:pPr>
  </w:style>
  <w:style w:type="paragraph" w:customStyle="1" w:styleId="Text">
    <w:name w:val="Text"/>
    <w:basedOn w:val="Normal"/>
    <w:link w:val="TextChar"/>
    <w:uiPriority w:val="2"/>
    <w:qFormat/>
    <w:rsid w:val="00F172ED"/>
    <w:pPr>
      <w:spacing w:before="200" w:after="200" w:line="264" w:lineRule="auto"/>
      <w:jc w:val="both"/>
    </w:pPr>
    <w:rPr>
      <w:rFonts w:ascii="HelveticaNeueLT Std" w:hAnsi="HelveticaNeueLT Std"/>
      <w:kern w:val="0"/>
      <w:sz w:val="20"/>
      <w:szCs w:val="20"/>
      <w:lang w:val="en-GB"/>
    </w:rPr>
  </w:style>
  <w:style w:type="character" w:customStyle="1" w:styleId="TextChar">
    <w:name w:val="Text Char"/>
    <w:basedOn w:val="Fuentedeprrafopredeter"/>
    <w:link w:val="Text"/>
    <w:uiPriority w:val="2"/>
    <w:rsid w:val="00F172ED"/>
    <w:rPr>
      <w:rFonts w:ascii="HelveticaNeueLT Std" w:hAnsi="HelveticaNeueLT Std"/>
      <w:kern w:val="0"/>
      <w:sz w:val="20"/>
      <w:szCs w:val="20"/>
      <w:lang w:val="en-GB"/>
    </w:rPr>
  </w:style>
  <w:style w:type="paragraph" w:styleId="Textodeglobo">
    <w:name w:val="Balloon Text"/>
    <w:basedOn w:val="Normal"/>
    <w:link w:val="TextodegloboCar"/>
    <w:uiPriority w:val="99"/>
    <w:semiHidden/>
    <w:unhideWhenUsed/>
    <w:rsid w:val="0044317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43178"/>
    <w:rPr>
      <w:rFonts w:ascii="Segoe UI" w:hAnsi="Segoe UI" w:cs="Segoe UI"/>
      <w:sz w:val="18"/>
      <w:szCs w:val="18"/>
    </w:rPr>
  </w:style>
  <w:style w:type="paragraph" w:styleId="Revisin">
    <w:name w:val="Revision"/>
    <w:hidden/>
    <w:uiPriority w:val="99"/>
    <w:semiHidden/>
    <w:rsid w:val="00A75733"/>
    <w:pPr>
      <w:spacing w:after="0" w:line="240" w:lineRule="auto"/>
    </w:pPr>
  </w:style>
  <w:style w:type="paragraph" w:customStyle="1" w:styleId="TextAccentBoxCQuotation">
    <w:name w:val="Text Accent Box C Quotation"/>
    <w:basedOn w:val="Normal"/>
    <w:qFormat/>
    <w:rsid w:val="009A788D"/>
    <w:pPr>
      <w:spacing w:after="80" w:line="240" w:lineRule="auto"/>
    </w:pPr>
    <w:rPr>
      <w:i/>
      <w:kern w:val="0"/>
      <w:sz w:val="20"/>
      <w:szCs w:val="20"/>
      <w:lang w:val="en-GB"/>
    </w:rPr>
  </w:style>
</w:styles>
</file>

<file path=word/webSettings.xml><?xml version="1.0" encoding="utf-8"?>
<w:webSettings xmlns:r="http://schemas.openxmlformats.org/officeDocument/2006/relationships" xmlns:w="http://schemas.openxmlformats.org/wordprocessingml/2006/main">
  <w:divs>
    <w:div w:id="33046625">
      <w:bodyDiv w:val="1"/>
      <w:marLeft w:val="0"/>
      <w:marRight w:val="0"/>
      <w:marTop w:val="0"/>
      <w:marBottom w:val="0"/>
      <w:divBdr>
        <w:top w:val="none" w:sz="0" w:space="0" w:color="auto"/>
        <w:left w:val="none" w:sz="0" w:space="0" w:color="auto"/>
        <w:bottom w:val="none" w:sz="0" w:space="0" w:color="auto"/>
        <w:right w:val="none" w:sz="0" w:space="0" w:color="auto"/>
      </w:divBdr>
      <w:divsChild>
        <w:div w:id="1666124788">
          <w:marLeft w:val="994"/>
          <w:marRight w:val="0"/>
          <w:marTop w:val="0"/>
          <w:marBottom w:val="0"/>
          <w:divBdr>
            <w:top w:val="none" w:sz="0" w:space="0" w:color="auto"/>
            <w:left w:val="none" w:sz="0" w:space="0" w:color="auto"/>
            <w:bottom w:val="none" w:sz="0" w:space="0" w:color="auto"/>
            <w:right w:val="none" w:sz="0" w:space="0" w:color="auto"/>
          </w:divBdr>
        </w:div>
        <w:div w:id="1561867348">
          <w:marLeft w:val="994"/>
          <w:marRight w:val="0"/>
          <w:marTop w:val="0"/>
          <w:marBottom w:val="0"/>
          <w:divBdr>
            <w:top w:val="none" w:sz="0" w:space="0" w:color="auto"/>
            <w:left w:val="none" w:sz="0" w:space="0" w:color="auto"/>
            <w:bottom w:val="none" w:sz="0" w:space="0" w:color="auto"/>
            <w:right w:val="none" w:sz="0" w:space="0" w:color="auto"/>
          </w:divBdr>
        </w:div>
      </w:divsChild>
    </w:div>
    <w:div w:id="43873365">
      <w:bodyDiv w:val="1"/>
      <w:marLeft w:val="0"/>
      <w:marRight w:val="0"/>
      <w:marTop w:val="0"/>
      <w:marBottom w:val="0"/>
      <w:divBdr>
        <w:top w:val="none" w:sz="0" w:space="0" w:color="auto"/>
        <w:left w:val="none" w:sz="0" w:space="0" w:color="auto"/>
        <w:bottom w:val="none" w:sz="0" w:space="0" w:color="auto"/>
        <w:right w:val="none" w:sz="0" w:space="0" w:color="auto"/>
      </w:divBdr>
    </w:div>
    <w:div w:id="318198163">
      <w:bodyDiv w:val="1"/>
      <w:marLeft w:val="0"/>
      <w:marRight w:val="0"/>
      <w:marTop w:val="0"/>
      <w:marBottom w:val="0"/>
      <w:divBdr>
        <w:top w:val="none" w:sz="0" w:space="0" w:color="auto"/>
        <w:left w:val="none" w:sz="0" w:space="0" w:color="auto"/>
        <w:bottom w:val="none" w:sz="0" w:space="0" w:color="auto"/>
        <w:right w:val="none" w:sz="0" w:space="0" w:color="auto"/>
      </w:divBdr>
      <w:divsChild>
        <w:div w:id="948119845">
          <w:marLeft w:val="0"/>
          <w:marRight w:val="0"/>
          <w:marTop w:val="0"/>
          <w:marBottom w:val="0"/>
          <w:divBdr>
            <w:top w:val="none" w:sz="0" w:space="0" w:color="auto"/>
            <w:left w:val="none" w:sz="0" w:space="0" w:color="auto"/>
            <w:bottom w:val="none" w:sz="0" w:space="0" w:color="auto"/>
            <w:right w:val="none" w:sz="0" w:space="0" w:color="auto"/>
          </w:divBdr>
        </w:div>
        <w:div w:id="771819004">
          <w:marLeft w:val="0"/>
          <w:marRight w:val="0"/>
          <w:marTop w:val="240"/>
          <w:marBottom w:val="240"/>
          <w:divBdr>
            <w:top w:val="none" w:sz="0" w:space="0" w:color="FFFFFF"/>
            <w:left w:val="none" w:sz="0" w:space="0" w:color="auto"/>
            <w:bottom w:val="single" w:sz="6" w:space="0" w:color="E9EBED"/>
            <w:right w:val="none" w:sz="0" w:space="0" w:color="2C3E50"/>
          </w:divBdr>
          <w:divsChild>
            <w:div w:id="190705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626703">
      <w:bodyDiv w:val="1"/>
      <w:marLeft w:val="0"/>
      <w:marRight w:val="0"/>
      <w:marTop w:val="0"/>
      <w:marBottom w:val="0"/>
      <w:divBdr>
        <w:top w:val="none" w:sz="0" w:space="0" w:color="auto"/>
        <w:left w:val="none" w:sz="0" w:space="0" w:color="auto"/>
        <w:bottom w:val="none" w:sz="0" w:space="0" w:color="auto"/>
        <w:right w:val="none" w:sz="0" w:space="0" w:color="auto"/>
      </w:divBdr>
    </w:div>
    <w:div w:id="433287719">
      <w:bodyDiv w:val="1"/>
      <w:marLeft w:val="0"/>
      <w:marRight w:val="0"/>
      <w:marTop w:val="0"/>
      <w:marBottom w:val="0"/>
      <w:divBdr>
        <w:top w:val="none" w:sz="0" w:space="0" w:color="auto"/>
        <w:left w:val="none" w:sz="0" w:space="0" w:color="auto"/>
        <w:bottom w:val="none" w:sz="0" w:space="0" w:color="auto"/>
        <w:right w:val="none" w:sz="0" w:space="0" w:color="auto"/>
      </w:divBdr>
    </w:div>
    <w:div w:id="538511599">
      <w:bodyDiv w:val="1"/>
      <w:marLeft w:val="0"/>
      <w:marRight w:val="0"/>
      <w:marTop w:val="0"/>
      <w:marBottom w:val="0"/>
      <w:divBdr>
        <w:top w:val="none" w:sz="0" w:space="0" w:color="auto"/>
        <w:left w:val="none" w:sz="0" w:space="0" w:color="auto"/>
        <w:bottom w:val="none" w:sz="0" w:space="0" w:color="auto"/>
        <w:right w:val="none" w:sz="0" w:space="0" w:color="auto"/>
      </w:divBdr>
    </w:div>
    <w:div w:id="575020012">
      <w:bodyDiv w:val="1"/>
      <w:marLeft w:val="0"/>
      <w:marRight w:val="0"/>
      <w:marTop w:val="0"/>
      <w:marBottom w:val="0"/>
      <w:divBdr>
        <w:top w:val="none" w:sz="0" w:space="0" w:color="auto"/>
        <w:left w:val="none" w:sz="0" w:space="0" w:color="auto"/>
        <w:bottom w:val="none" w:sz="0" w:space="0" w:color="auto"/>
        <w:right w:val="none" w:sz="0" w:space="0" w:color="auto"/>
      </w:divBdr>
      <w:divsChild>
        <w:div w:id="2145197290">
          <w:marLeft w:val="0"/>
          <w:marRight w:val="0"/>
          <w:marTop w:val="0"/>
          <w:marBottom w:val="0"/>
          <w:divBdr>
            <w:top w:val="single" w:sz="2" w:space="0" w:color="D9D9E3"/>
            <w:left w:val="single" w:sz="2" w:space="0" w:color="D9D9E3"/>
            <w:bottom w:val="single" w:sz="2" w:space="0" w:color="D9D9E3"/>
            <w:right w:val="single" w:sz="2" w:space="0" w:color="D9D9E3"/>
          </w:divBdr>
          <w:divsChild>
            <w:div w:id="1742024634">
              <w:marLeft w:val="0"/>
              <w:marRight w:val="0"/>
              <w:marTop w:val="0"/>
              <w:marBottom w:val="0"/>
              <w:divBdr>
                <w:top w:val="single" w:sz="2" w:space="0" w:color="D9D9E3"/>
                <w:left w:val="single" w:sz="2" w:space="0" w:color="D9D9E3"/>
                <w:bottom w:val="single" w:sz="2" w:space="0" w:color="D9D9E3"/>
                <w:right w:val="single" w:sz="2" w:space="0" w:color="D9D9E3"/>
              </w:divBdr>
              <w:divsChild>
                <w:div w:id="1887986597">
                  <w:marLeft w:val="0"/>
                  <w:marRight w:val="0"/>
                  <w:marTop w:val="0"/>
                  <w:marBottom w:val="0"/>
                  <w:divBdr>
                    <w:top w:val="single" w:sz="2" w:space="0" w:color="D9D9E3"/>
                    <w:left w:val="single" w:sz="2" w:space="0" w:color="D9D9E3"/>
                    <w:bottom w:val="single" w:sz="2" w:space="0" w:color="D9D9E3"/>
                    <w:right w:val="single" w:sz="2" w:space="0" w:color="D9D9E3"/>
                  </w:divBdr>
                  <w:divsChild>
                    <w:div w:id="242573038">
                      <w:marLeft w:val="0"/>
                      <w:marRight w:val="0"/>
                      <w:marTop w:val="0"/>
                      <w:marBottom w:val="0"/>
                      <w:divBdr>
                        <w:top w:val="single" w:sz="2" w:space="0" w:color="D9D9E3"/>
                        <w:left w:val="single" w:sz="2" w:space="0" w:color="D9D9E3"/>
                        <w:bottom w:val="single" w:sz="2" w:space="0" w:color="D9D9E3"/>
                        <w:right w:val="single" w:sz="2" w:space="0" w:color="D9D9E3"/>
                      </w:divBdr>
                      <w:divsChild>
                        <w:div w:id="177740378">
                          <w:marLeft w:val="0"/>
                          <w:marRight w:val="0"/>
                          <w:marTop w:val="0"/>
                          <w:marBottom w:val="0"/>
                          <w:divBdr>
                            <w:top w:val="single" w:sz="2" w:space="0" w:color="D9D9E3"/>
                            <w:left w:val="single" w:sz="2" w:space="0" w:color="D9D9E3"/>
                            <w:bottom w:val="single" w:sz="2" w:space="0" w:color="D9D9E3"/>
                            <w:right w:val="single" w:sz="2" w:space="0" w:color="D9D9E3"/>
                          </w:divBdr>
                          <w:divsChild>
                            <w:div w:id="1837917438">
                              <w:marLeft w:val="0"/>
                              <w:marRight w:val="0"/>
                              <w:marTop w:val="100"/>
                              <w:marBottom w:val="100"/>
                              <w:divBdr>
                                <w:top w:val="single" w:sz="2" w:space="0" w:color="D9D9E3"/>
                                <w:left w:val="single" w:sz="2" w:space="0" w:color="D9D9E3"/>
                                <w:bottom w:val="single" w:sz="2" w:space="0" w:color="D9D9E3"/>
                                <w:right w:val="single" w:sz="2" w:space="0" w:color="D9D9E3"/>
                              </w:divBdr>
                              <w:divsChild>
                                <w:div w:id="1118984838">
                                  <w:marLeft w:val="0"/>
                                  <w:marRight w:val="0"/>
                                  <w:marTop w:val="0"/>
                                  <w:marBottom w:val="0"/>
                                  <w:divBdr>
                                    <w:top w:val="single" w:sz="2" w:space="0" w:color="D9D9E3"/>
                                    <w:left w:val="single" w:sz="2" w:space="0" w:color="D9D9E3"/>
                                    <w:bottom w:val="single" w:sz="2" w:space="0" w:color="D9D9E3"/>
                                    <w:right w:val="single" w:sz="2" w:space="0" w:color="D9D9E3"/>
                                  </w:divBdr>
                                  <w:divsChild>
                                    <w:div w:id="2052343154">
                                      <w:marLeft w:val="0"/>
                                      <w:marRight w:val="0"/>
                                      <w:marTop w:val="0"/>
                                      <w:marBottom w:val="0"/>
                                      <w:divBdr>
                                        <w:top w:val="single" w:sz="2" w:space="0" w:color="D9D9E3"/>
                                        <w:left w:val="single" w:sz="2" w:space="0" w:color="D9D9E3"/>
                                        <w:bottom w:val="single" w:sz="2" w:space="0" w:color="D9D9E3"/>
                                        <w:right w:val="single" w:sz="2" w:space="0" w:color="D9D9E3"/>
                                      </w:divBdr>
                                      <w:divsChild>
                                        <w:div w:id="1092779790">
                                          <w:marLeft w:val="0"/>
                                          <w:marRight w:val="0"/>
                                          <w:marTop w:val="0"/>
                                          <w:marBottom w:val="0"/>
                                          <w:divBdr>
                                            <w:top w:val="single" w:sz="2" w:space="0" w:color="D9D9E3"/>
                                            <w:left w:val="single" w:sz="2" w:space="0" w:color="D9D9E3"/>
                                            <w:bottom w:val="single" w:sz="2" w:space="0" w:color="D9D9E3"/>
                                            <w:right w:val="single" w:sz="2" w:space="0" w:color="D9D9E3"/>
                                          </w:divBdr>
                                          <w:divsChild>
                                            <w:div w:id="591279533">
                                              <w:marLeft w:val="0"/>
                                              <w:marRight w:val="0"/>
                                              <w:marTop w:val="0"/>
                                              <w:marBottom w:val="0"/>
                                              <w:divBdr>
                                                <w:top w:val="single" w:sz="2" w:space="0" w:color="D9D9E3"/>
                                                <w:left w:val="single" w:sz="2" w:space="0" w:color="D9D9E3"/>
                                                <w:bottom w:val="single" w:sz="2" w:space="0" w:color="D9D9E3"/>
                                                <w:right w:val="single" w:sz="2" w:space="0" w:color="D9D9E3"/>
                                              </w:divBdr>
                                              <w:divsChild>
                                                <w:div w:id="1632859645">
                                                  <w:marLeft w:val="0"/>
                                                  <w:marRight w:val="0"/>
                                                  <w:marTop w:val="0"/>
                                                  <w:marBottom w:val="0"/>
                                                  <w:divBdr>
                                                    <w:top w:val="single" w:sz="2" w:space="0" w:color="D9D9E3"/>
                                                    <w:left w:val="single" w:sz="2" w:space="0" w:color="D9D9E3"/>
                                                    <w:bottom w:val="single" w:sz="2" w:space="0" w:color="D9D9E3"/>
                                                    <w:right w:val="single" w:sz="2" w:space="0" w:color="D9D9E3"/>
                                                  </w:divBdr>
                                                  <w:divsChild>
                                                    <w:div w:id="7361266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53371363">
          <w:marLeft w:val="0"/>
          <w:marRight w:val="0"/>
          <w:marTop w:val="0"/>
          <w:marBottom w:val="0"/>
          <w:divBdr>
            <w:top w:val="none" w:sz="0" w:space="0" w:color="auto"/>
            <w:left w:val="none" w:sz="0" w:space="0" w:color="auto"/>
            <w:bottom w:val="none" w:sz="0" w:space="0" w:color="auto"/>
            <w:right w:val="none" w:sz="0" w:space="0" w:color="auto"/>
          </w:divBdr>
        </w:div>
      </w:divsChild>
    </w:div>
    <w:div w:id="684673230">
      <w:bodyDiv w:val="1"/>
      <w:marLeft w:val="0"/>
      <w:marRight w:val="0"/>
      <w:marTop w:val="0"/>
      <w:marBottom w:val="0"/>
      <w:divBdr>
        <w:top w:val="none" w:sz="0" w:space="0" w:color="auto"/>
        <w:left w:val="none" w:sz="0" w:space="0" w:color="auto"/>
        <w:bottom w:val="none" w:sz="0" w:space="0" w:color="auto"/>
        <w:right w:val="none" w:sz="0" w:space="0" w:color="auto"/>
      </w:divBdr>
    </w:div>
    <w:div w:id="703752934">
      <w:bodyDiv w:val="1"/>
      <w:marLeft w:val="0"/>
      <w:marRight w:val="0"/>
      <w:marTop w:val="0"/>
      <w:marBottom w:val="0"/>
      <w:divBdr>
        <w:top w:val="none" w:sz="0" w:space="0" w:color="auto"/>
        <w:left w:val="none" w:sz="0" w:space="0" w:color="auto"/>
        <w:bottom w:val="none" w:sz="0" w:space="0" w:color="auto"/>
        <w:right w:val="none" w:sz="0" w:space="0" w:color="auto"/>
      </w:divBdr>
    </w:div>
    <w:div w:id="728193670">
      <w:bodyDiv w:val="1"/>
      <w:marLeft w:val="0"/>
      <w:marRight w:val="0"/>
      <w:marTop w:val="0"/>
      <w:marBottom w:val="0"/>
      <w:divBdr>
        <w:top w:val="none" w:sz="0" w:space="0" w:color="auto"/>
        <w:left w:val="none" w:sz="0" w:space="0" w:color="auto"/>
        <w:bottom w:val="none" w:sz="0" w:space="0" w:color="auto"/>
        <w:right w:val="none" w:sz="0" w:space="0" w:color="auto"/>
      </w:divBdr>
    </w:div>
    <w:div w:id="803891710">
      <w:bodyDiv w:val="1"/>
      <w:marLeft w:val="0"/>
      <w:marRight w:val="0"/>
      <w:marTop w:val="0"/>
      <w:marBottom w:val="0"/>
      <w:divBdr>
        <w:top w:val="none" w:sz="0" w:space="0" w:color="auto"/>
        <w:left w:val="none" w:sz="0" w:space="0" w:color="auto"/>
        <w:bottom w:val="none" w:sz="0" w:space="0" w:color="auto"/>
        <w:right w:val="none" w:sz="0" w:space="0" w:color="auto"/>
      </w:divBdr>
    </w:div>
    <w:div w:id="914239445">
      <w:bodyDiv w:val="1"/>
      <w:marLeft w:val="0"/>
      <w:marRight w:val="0"/>
      <w:marTop w:val="0"/>
      <w:marBottom w:val="0"/>
      <w:divBdr>
        <w:top w:val="none" w:sz="0" w:space="0" w:color="auto"/>
        <w:left w:val="none" w:sz="0" w:space="0" w:color="auto"/>
        <w:bottom w:val="none" w:sz="0" w:space="0" w:color="auto"/>
        <w:right w:val="none" w:sz="0" w:space="0" w:color="auto"/>
      </w:divBdr>
    </w:div>
    <w:div w:id="1197694852">
      <w:bodyDiv w:val="1"/>
      <w:marLeft w:val="0"/>
      <w:marRight w:val="0"/>
      <w:marTop w:val="0"/>
      <w:marBottom w:val="0"/>
      <w:divBdr>
        <w:top w:val="none" w:sz="0" w:space="0" w:color="auto"/>
        <w:left w:val="none" w:sz="0" w:space="0" w:color="auto"/>
        <w:bottom w:val="none" w:sz="0" w:space="0" w:color="auto"/>
        <w:right w:val="none" w:sz="0" w:space="0" w:color="auto"/>
      </w:divBdr>
    </w:div>
    <w:div w:id="1202789102">
      <w:bodyDiv w:val="1"/>
      <w:marLeft w:val="0"/>
      <w:marRight w:val="0"/>
      <w:marTop w:val="0"/>
      <w:marBottom w:val="0"/>
      <w:divBdr>
        <w:top w:val="none" w:sz="0" w:space="0" w:color="auto"/>
        <w:left w:val="none" w:sz="0" w:space="0" w:color="auto"/>
        <w:bottom w:val="none" w:sz="0" w:space="0" w:color="auto"/>
        <w:right w:val="none" w:sz="0" w:space="0" w:color="auto"/>
      </w:divBdr>
    </w:div>
    <w:div w:id="1217742449">
      <w:bodyDiv w:val="1"/>
      <w:marLeft w:val="0"/>
      <w:marRight w:val="0"/>
      <w:marTop w:val="0"/>
      <w:marBottom w:val="0"/>
      <w:divBdr>
        <w:top w:val="none" w:sz="0" w:space="0" w:color="auto"/>
        <w:left w:val="none" w:sz="0" w:space="0" w:color="auto"/>
        <w:bottom w:val="none" w:sz="0" w:space="0" w:color="auto"/>
        <w:right w:val="none" w:sz="0" w:space="0" w:color="auto"/>
      </w:divBdr>
    </w:div>
    <w:div w:id="1368602077">
      <w:bodyDiv w:val="1"/>
      <w:marLeft w:val="0"/>
      <w:marRight w:val="0"/>
      <w:marTop w:val="0"/>
      <w:marBottom w:val="0"/>
      <w:divBdr>
        <w:top w:val="none" w:sz="0" w:space="0" w:color="auto"/>
        <w:left w:val="none" w:sz="0" w:space="0" w:color="auto"/>
        <w:bottom w:val="none" w:sz="0" w:space="0" w:color="auto"/>
        <w:right w:val="none" w:sz="0" w:space="0" w:color="auto"/>
      </w:divBdr>
    </w:div>
    <w:div w:id="1388070872">
      <w:bodyDiv w:val="1"/>
      <w:marLeft w:val="0"/>
      <w:marRight w:val="0"/>
      <w:marTop w:val="0"/>
      <w:marBottom w:val="0"/>
      <w:divBdr>
        <w:top w:val="none" w:sz="0" w:space="0" w:color="auto"/>
        <w:left w:val="none" w:sz="0" w:space="0" w:color="auto"/>
        <w:bottom w:val="none" w:sz="0" w:space="0" w:color="auto"/>
        <w:right w:val="none" w:sz="0" w:space="0" w:color="auto"/>
      </w:divBdr>
    </w:div>
    <w:div w:id="1398091491">
      <w:bodyDiv w:val="1"/>
      <w:marLeft w:val="0"/>
      <w:marRight w:val="0"/>
      <w:marTop w:val="0"/>
      <w:marBottom w:val="0"/>
      <w:divBdr>
        <w:top w:val="none" w:sz="0" w:space="0" w:color="auto"/>
        <w:left w:val="none" w:sz="0" w:space="0" w:color="auto"/>
        <w:bottom w:val="none" w:sz="0" w:space="0" w:color="auto"/>
        <w:right w:val="none" w:sz="0" w:space="0" w:color="auto"/>
      </w:divBdr>
      <w:divsChild>
        <w:div w:id="2022703830">
          <w:marLeft w:val="547"/>
          <w:marRight w:val="0"/>
          <w:marTop w:val="0"/>
          <w:marBottom w:val="0"/>
          <w:divBdr>
            <w:top w:val="none" w:sz="0" w:space="0" w:color="auto"/>
            <w:left w:val="none" w:sz="0" w:space="0" w:color="auto"/>
            <w:bottom w:val="none" w:sz="0" w:space="0" w:color="auto"/>
            <w:right w:val="none" w:sz="0" w:space="0" w:color="auto"/>
          </w:divBdr>
        </w:div>
        <w:div w:id="1200170949">
          <w:marLeft w:val="547"/>
          <w:marRight w:val="0"/>
          <w:marTop w:val="0"/>
          <w:marBottom w:val="0"/>
          <w:divBdr>
            <w:top w:val="none" w:sz="0" w:space="0" w:color="auto"/>
            <w:left w:val="none" w:sz="0" w:space="0" w:color="auto"/>
            <w:bottom w:val="none" w:sz="0" w:space="0" w:color="auto"/>
            <w:right w:val="none" w:sz="0" w:space="0" w:color="auto"/>
          </w:divBdr>
        </w:div>
      </w:divsChild>
    </w:div>
    <w:div w:id="1411148543">
      <w:bodyDiv w:val="1"/>
      <w:marLeft w:val="0"/>
      <w:marRight w:val="0"/>
      <w:marTop w:val="0"/>
      <w:marBottom w:val="0"/>
      <w:divBdr>
        <w:top w:val="none" w:sz="0" w:space="0" w:color="auto"/>
        <w:left w:val="none" w:sz="0" w:space="0" w:color="auto"/>
        <w:bottom w:val="none" w:sz="0" w:space="0" w:color="auto"/>
        <w:right w:val="none" w:sz="0" w:space="0" w:color="auto"/>
      </w:divBdr>
    </w:div>
    <w:div w:id="1436486201">
      <w:bodyDiv w:val="1"/>
      <w:marLeft w:val="0"/>
      <w:marRight w:val="0"/>
      <w:marTop w:val="0"/>
      <w:marBottom w:val="0"/>
      <w:divBdr>
        <w:top w:val="none" w:sz="0" w:space="0" w:color="auto"/>
        <w:left w:val="none" w:sz="0" w:space="0" w:color="auto"/>
        <w:bottom w:val="none" w:sz="0" w:space="0" w:color="auto"/>
        <w:right w:val="none" w:sz="0" w:space="0" w:color="auto"/>
      </w:divBdr>
    </w:div>
    <w:div w:id="1752703454">
      <w:bodyDiv w:val="1"/>
      <w:marLeft w:val="0"/>
      <w:marRight w:val="0"/>
      <w:marTop w:val="0"/>
      <w:marBottom w:val="0"/>
      <w:divBdr>
        <w:top w:val="none" w:sz="0" w:space="0" w:color="auto"/>
        <w:left w:val="none" w:sz="0" w:space="0" w:color="auto"/>
        <w:bottom w:val="none" w:sz="0" w:space="0" w:color="auto"/>
        <w:right w:val="none" w:sz="0" w:space="0" w:color="auto"/>
      </w:divBdr>
    </w:div>
    <w:div w:id="1768235522">
      <w:bodyDiv w:val="1"/>
      <w:marLeft w:val="0"/>
      <w:marRight w:val="0"/>
      <w:marTop w:val="0"/>
      <w:marBottom w:val="0"/>
      <w:divBdr>
        <w:top w:val="none" w:sz="0" w:space="0" w:color="auto"/>
        <w:left w:val="none" w:sz="0" w:space="0" w:color="auto"/>
        <w:bottom w:val="none" w:sz="0" w:space="0" w:color="auto"/>
        <w:right w:val="none" w:sz="0" w:space="0" w:color="auto"/>
      </w:divBdr>
    </w:div>
    <w:div w:id="1785929419">
      <w:bodyDiv w:val="1"/>
      <w:marLeft w:val="0"/>
      <w:marRight w:val="0"/>
      <w:marTop w:val="0"/>
      <w:marBottom w:val="0"/>
      <w:divBdr>
        <w:top w:val="none" w:sz="0" w:space="0" w:color="auto"/>
        <w:left w:val="none" w:sz="0" w:space="0" w:color="auto"/>
        <w:bottom w:val="none" w:sz="0" w:space="0" w:color="auto"/>
        <w:right w:val="none" w:sz="0" w:space="0" w:color="auto"/>
      </w:divBdr>
      <w:divsChild>
        <w:div w:id="228808785">
          <w:marLeft w:val="547"/>
          <w:marRight w:val="0"/>
          <w:marTop w:val="0"/>
          <w:marBottom w:val="0"/>
          <w:divBdr>
            <w:top w:val="none" w:sz="0" w:space="0" w:color="auto"/>
            <w:left w:val="none" w:sz="0" w:space="0" w:color="auto"/>
            <w:bottom w:val="none" w:sz="0" w:space="0" w:color="auto"/>
            <w:right w:val="none" w:sz="0" w:space="0" w:color="auto"/>
          </w:divBdr>
        </w:div>
        <w:div w:id="1421291893">
          <w:marLeft w:val="547"/>
          <w:marRight w:val="0"/>
          <w:marTop w:val="0"/>
          <w:marBottom w:val="0"/>
          <w:divBdr>
            <w:top w:val="none" w:sz="0" w:space="0" w:color="auto"/>
            <w:left w:val="none" w:sz="0" w:space="0" w:color="auto"/>
            <w:bottom w:val="none" w:sz="0" w:space="0" w:color="auto"/>
            <w:right w:val="none" w:sz="0" w:space="0" w:color="auto"/>
          </w:divBdr>
        </w:div>
      </w:divsChild>
    </w:div>
    <w:div w:id="1807625456">
      <w:bodyDiv w:val="1"/>
      <w:marLeft w:val="0"/>
      <w:marRight w:val="0"/>
      <w:marTop w:val="0"/>
      <w:marBottom w:val="0"/>
      <w:divBdr>
        <w:top w:val="none" w:sz="0" w:space="0" w:color="auto"/>
        <w:left w:val="none" w:sz="0" w:space="0" w:color="auto"/>
        <w:bottom w:val="none" w:sz="0" w:space="0" w:color="auto"/>
        <w:right w:val="none" w:sz="0" w:space="0" w:color="auto"/>
      </w:divBdr>
    </w:div>
    <w:div w:id="1814256338">
      <w:bodyDiv w:val="1"/>
      <w:marLeft w:val="0"/>
      <w:marRight w:val="0"/>
      <w:marTop w:val="0"/>
      <w:marBottom w:val="0"/>
      <w:divBdr>
        <w:top w:val="none" w:sz="0" w:space="0" w:color="auto"/>
        <w:left w:val="none" w:sz="0" w:space="0" w:color="auto"/>
        <w:bottom w:val="none" w:sz="0" w:space="0" w:color="auto"/>
        <w:right w:val="none" w:sz="0" w:space="0" w:color="auto"/>
      </w:divBdr>
    </w:div>
    <w:div w:id="1828396335">
      <w:bodyDiv w:val="1"/>
      <w:marLeft w:val="0"/>
      <w:marRight w:val="0"/>
      <w:marTop w:val="0"/>
      <w:marBottom w:val="0"/>
      <w:divBdr>
        <w:top w:val="none" w:sz="0" w:space="0" w:color="auto"/>
        <w:left w:val="none" w:sz="0" w:space="0" w:color="auto"/>
        <w:bottom w:val="none" w:sz="0" w:space="0" w:color="auto"/>
        <w:right w:val="none" w:sz="0" w:space="0" w:color="auto"/>
      </w:divBdr>
    </w:div>
    <w:div w:id="202835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73FD992BE93841A00FFBA65C637B9E" ma:contentTypeVersion="16" ma:contentTypeDescription="Create a new document." ma:contentTypeScope="" ma:versionID="9ff422867e36c348b5535102110e87a6">
  <xsd:schema xmlns:xsd="http://www.w3.org/2001/XMLSchema" xmlns:xs="http://www.w3.org/2001/XMLSchema" xmlns:p="http://schemas.microsoft.com/office/2006/metadata/properties" xmlns:ns2="d67bd6f6-e6eb-4da7-bbee-9b350bf63e2d" xmlns:ns3="44d7bc06-8a72-4d28-8d3a-3725824a282c" targetNamespace="http://schemas.microsoft.com/office/2006/metadata/properties" ma:root="true" ma:fieldsID="9eccc728994f6b96dd76412caf75f50d" ns2:_="" ns3:_="">
    <xsd:import namespace="d67bd6f6-e6eb-4da7-bbee-9b350bf63e2d"/>
    <xsd:import namespace="44d7bc06-8a72-4d28-8d3a-3725824a282c"/>
    <xsd:element name="properties">
      <xsd:complexType>
        <xsd:sequence>
          <xsd:element name="documentManagement">
            <xsd:complexType>
              <xsd:all>
                <xsd:element ref="ns2:DFile" minOccurs="0"/>
                <xsd:element ref="ns3:SharedWithUsers" minOccurs="0"/>
                <xsd:element ref="ns3:SharedWithDetails"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LengthInSecond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7bd6f6-e6eb-4da7-bbee-9b350bf63e2d" elementFormDefault="qualified">
    <xsd:import namespace="http://schemas.microsoft.com/office/2006/documentManagement/types"/>
    <xsd:import namespace="http://schemas.microsoft.com/office/infopath/2007/PartnerControls"/>
    <xsd:element name="DFile" ma:index="3" nillable="true" ma:displayName="DFile" ma:default="0" ma:format="Dropdown" ma:internalName="DFile">
      <xsd:simpleType>
        <xsd:restriction base="dms:Boolea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hidden="true" ma:internalName="MediaServiceOCR"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d7bc06-8a72-4d28-8d3a-3725824a282c" elementFormDefault="qualified">
    <xsd:import namespace="http://schemas.microsoft.com/office/2006/documentManagement/types"/>
    <xsd:import namespace="http://schemas.microsoft.com/office/infopath/2007/PartnerControls"/>
    <xsd:element name="SharedWithUsers" ma:index="8"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hidden="true" ma:internalName="SharedWithDetails" ma:readOnly="true">
      <xsd:simpleType>
        <xsd:restriction base="dms:Note"/>
      </xsd:simpleType>
    </xsd:element>
    <xsd:element name="TaxCatchAll" ma:index="14" nillable="true" ma:displayName="Taxonomy Catch All Column" ma:hidden="true" ma:list="{18f77178-1f6f-422f-9727-f9cd98d1eb47}" ma:internalName="TaxCatchAll" ma:readOnly="false" ma:showField="CatchAllData" ma:web="44d7bc06-8a72-4d28-8d3a-3725824a28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4d7bc06-8a72-4d28-8d3a-3725824a282c" xsi:nil="true"/>
    <lcf76f155ced4ddcb4097134ff3c332f xmlns="d67bd6f6-e6eb-4da7-bbee-9b350bf63e2d">
      <Terms xmlns="http://schemas.microsoft.com/office/infopath/2007/PartnerControls"/>
    </lcf76f155ced4ddcb4097134ff3c332f>
    <DFile xmlns="d67bd6f6-e6eb-4da7-bbee-9b350bf63e2d">false</DFil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EFD6F5-5FC8-44EF-A29B-20E20813B4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7bd6f6-e6eb-4da7-bbee-9b350bf63e2d"/>
    <ds:schemaRef ds:uri="44d7bc06-8a72-4d28-8d3a-3725824a28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8DEEBA-D4BC-4A38-A00A-CB2D36A40296}">
  <ds:schemaRefs>
    <ds:schemaRef ds:uri="http://schemas.microsoft.com/office/2006/metadata/properties"/>
    <ds:schemaRef ds:uri="http://schemas.microsoft.com/office/infopath/2007/PartnerControls"/>
    <ds:schemaRef ds:uri="44d7bc06-8a72-4d28-8d3a-3725824a282c"/>
    <ds:schemaRef ds:uri="d67bd6f6-e6eb-4da7-bbee-9b350bf63e2d"/>
  </ds:schemaRefs>
</ds:datastoreItem>
</file>

<file path=customXml/itemProps3.xml><?xml version="1.0" encoding="utf-8"?>
<ds:datastoreItem xmlns:ds="http://schemas.openxmlformats.org/officeDocument/2006/customXml" ds:itemID="{959EEE77-109E-4DD3-A7AF-D1D9224497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1672</Words>
  <Characters>9197</Characters>
  <Application>Microsoft Office Word</Application>
  <DocSecurity>0</DocSecurity>
  <Lines>76</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Raquel</dc:creator>
  <cp:lastModifiedBy>jose luis</cp:lastModifiedBy>
  <cp:revision>3</cp:revision>
  <dcterms:created xsi:type="dcterms:W3CDTF">2024-01-30T09:50:00Z</dcterms:created>
  <dcterms:modified xsi:type="dcterms:W3CDTF">2024-01-30T09:54:00Z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2024-01-11T11:28:54Z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5d07bf3d-c732-41bc-b5ac-e4dd70f62bfb</vt:lpwstr>
  </property>
  <property fmtid="{D5CDD505-2E9C-101B-9397-08002B2CF9AE}" pid="8" name="MSIP_Label_ea60d57e-af5b-4752-ac57-3e4f28ca11dc_ContentBits">
    <vt:lpwstr>0</vt:lpwstr>
  </property>
  <property fmtid="{D5CDD505-2E9C-101B-9397-08002B2CF9AE}" pid="9" name="ContentTypeId">
    <vt:lpwstr>0x010100DE73FD992BE93841A00FFBA65C637B9E</vt:lpwstr>
  </property>
  <property fmtid="{D5CDD505-2E9C-101B-9397-08002B2CF9AE}" pid="10" name="MediaServiceImageTags">
    <vt:lpwstr/>
  </property>
</Properties>
</file>